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B7D2B" w14:textId="321988D5" w:rsidR="00B63223" w:rsidRDefault="00B63223" w:rsidP="00B63223">
      <w:pPr>
        <w:pStyle w:val="Heading1"/>
        <w:spacing w:before="0"/>
        <w:jc w:val="center"/>
      </w:pPr>
      <w:r>
        <w:rPr>
          <w:noProof/>
        </w:rPr>
        <w:drawing>
          <wp:anchor distT="0" distB="0" distL="114300" distR="114300" simplePos="0" relativeHeight="251658240" behindDoc="1" locked="0" layoutInCell="1" allowOverlap="1" wp14:anchorId="11279088" wp14:editId="1B15769A">
            <wp:simplePos x="0" y="0"/>
            <wp:positionH relativeFrom="column">
              <wp:posOffset>3781425</wp:posOffset>
            </wp:positionH>
            <wp:positionV relativeFrom="paragraph">
              <wp:posOffset>0</wp:posOffset>
            </wp:positionV>
            <wp:extent cx="2541905" cy="1086485"/>
            <wp:effectExtent l="0" t="0" r="0" b="0"/>
            <wp:wrapTight wrapText="bothSides">
              <wp:wrapPolygon edited="0">
                <wp:start x="4694" y="0"/>
                <wp:lineTo x="0" y="5302"/>
                <wp:lineTo x="0" y="11741"/>
                <wp:lineTo x="324" y="12119"/>
                <wp:lineTo x="2752" y="12877"/>
                <wp:lineTo x="3723" y="17421"/>
                <wp:lineTo x="5666" y="18936"/>
                <wp:lineTo x="4694" y="19315"/>
                <wp:lineTo x="4694" y="21209"/>
                <wp:lineTo x="16512" y="21209"/>
                <wp:lineTo x="16835" y="19694"/>
                <wp:lineTo x="15378" y="18936"/>
                <wp:lineTo x="18130" y="17421"/>
                <wp:lineTo x="18778" y="12119"/>
                <wp:lineTo x="20882" y="12119"/>
                <wp:lineTo x="21368" y="11741"/>
                <wp:lineTo x="21368" y="5302"/>
                <wp:lineTo x="16512" y="0"/>
                <wp:lineTo x="469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1905" cy="1086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46B096" w14:textId="30AE8463" w:rsidR="00B63223" w:rsidRDefault="00B63223" w:rsidP="00B63223">
      <w:pPr>
        <w:pStyle w:val="Heading1"/>
        <w:spacing w:before="0"/>
        <w:jc w:val="center"/>
      </w:pPr>
    </w:p>
    <w:p w14:paraId="7077E58B" w14:textId="77777777" w:rsidR="00B63223" w:rsidRDefault="00B63223" w:rsidP="00B63223">
      <w:pPr>
        <w:pStyle w:val="Heading1"/>
        <w:spacing w:before="0"/>
        <w:jc w:val="center"/>
      </w:pPr>
    </w:p>
    <w:p w14:paraId="4930D4D0" w14:textId="4BF0B194" w:rsidR="00B63223" w:rsidRDefault="00B63223" w:rsidP="00B63223">
      <w:pPr>
        <w:pStyle w:val="Heading1"/>
        <w:spacing w:before="0"/>
        <w:jc w:val="center"/>
      </w:pPr>
      <w:r w:rsidRPr="00B63223">
        <w:t xml:space="preserve">Auditing </w:t>
      </w:r>
      <w:r>
        <w:t>Y</w:t>
      </w:r>
      <w:r w:rsidRPr="00B63223">
        <w:t>our School: Promoting LGBT+ Equality and Tackling Homophobic, Biphobic and Transphobic Bullying</w:t>
      </w:r>
    </w:p>
    <w:p w14:paraId="05F6DC6E" w14:textId="77777777" w:rsidR="00052E4B" w:rsidRDefault="00052E4B" w:rsidP="009A3A6E"/>
    <w:p w14:paraId="6BD96AA2" w14:textId="4AADBB4A" w:rsidR="009A3A6E" w:rsidRPr="009A3A6E" w:rsidRDefault="009A3A6E" w:rsidP="009A3A6E">
      <w:r>
        <w:t xml:space="preserve">The indicators in this template audit are taken from the full equalities audit available through the EqualiTeach Equalities Award scheme (www.equaliteach.co.uk). The audit is designed to help schools think about their current practice with regards to LGBT+ inclusion and provide ways in which they can improve. </w:t>
      </w:r>
    </w:p>
    <w:p w14:paraId="224D396C" w14:textId="34F1C086" w:rsidR="00D57BC6" w:rsidRPr="00D57BC6" w:rsidRDefault="007F7A88" w:rsidP="00D57BC6">
      <w:pPr>
        <w:pStyle w:val="Heading1"/>
        <w:spacing w:before="0"/>
        <w:rPr>
          <w:color w:val="66BD46" w:themeColor="accent2"/>
        </w:rPr>
      </w:pPr>
      <w:r w:rsidRPr="006B0B50">
        <w:rPr>
          <w:color w:val="66BD46" w:themeColor="accent2"/>
        </w:rPr>
        <w:t>Behaviour and Welfare</w:t>
      </w:r>
    </w:p>
    <w:tbl>
      <w:tblPr>
        <w:tblStyle w:val="ListTable3-Accent21"/>
        <w:tblW w:w="14601" w:type="dxa"/>
        <w:tblInd w:w="-431" w:type="dxa"/>
        <w:tblLook w:val="04A0" w:firstRow="1" w:lastRow="0" w:firstColumn="1" w:lastColumn="0" w:noHBand="0" w:noVBand="1"/>
      </w:tblPr>
      <w:tblGrid>
        <w:gridCol w:w="1986"/>
        <w:gridCol w:w="4961"/>
        <w:gridCol w:w="3969"/>
        <w:gridCol w:w="3685"/>
      </w:tblGrid>
      <w:tr w:rsidR="00D57BC6" w:rsidRPr="0008331A" w14:paraId="4D3DD0D5" w14:textId="4B9494AE" w:rsidTr="00A021F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6" w:type="dxa"/>
            <w:tcBorders>
              <w:top w:val="single" w:sz="4" w:space="0" w:color="66BD46" w:themeColor="accent2"/>
              <w:bottom w:val="single" w:sz="4" w:space="0" w:color="66BD46" w:themeColor="accent2"/>
              <w:right w:val="single" w:sz="4" w:space="0" w:color="66BD46" w:themeColor="accent2"/>
            </w:tcBorders>
          </w:tcPr>
          <w:p w14:paraId="15C46863" w14:textId="7F88A788" w:rsidR="00D57BC6" w:rsidRPr="0008331A" w:rsidRDefault="00D57BC6" w:rsidP="00B5351F">
            <w:pPr>
              <w:rPr>
                <w:rFonts w:cstheme="minorHAnsi"/>
                <w:sz w:val="22"/>
              </w:rPr>
            </w:pPr>
            <w:r w:rsidRPr="0008331A">
              <w:rPr>
                <w:rFonts w:cstheme="minorHAnsi"/>
                <w:sz w:val="22"/>
              </w:rPr>
              <w:t>Indicator</w:t>
            </w:r>
          </w:p>
        </w:tc>
        <w:tc>
          <w:tcPr>
            <w:tcW w:w="4961" w:type="dxa"/>
            <w:tcBorders>
              <w:top w:val="single" w:sz="4" w:space="0" w:color="66BD46" w:themeColor="accent2"/>
              <w:left w:val="single" w:sz="4" w:space="0" w:color="66BD46" w:themeColor="accent2"/>
              <w:bottom w:val="single" w:sz="4" w:space="0" w:color="66BD46" w:themeColor="accent2"/>
              <w:right w:val="single" w:sz="4" w:space="0" w:color="66BD46" w:themeColor="accent2"/>
            </w:tcBorders>
          </w:tcPr>
          <w:p w14:paraId="2AE551F7" w14:textId="1239AD1D" w:rsidR="00D57BC6" w:rsidRPr="0008331A" w:rsidRDefault="00D57BC6" w:rsidP="005D5389">
            <w:pPr>
              <w:ind w:right="1878"/>
              <w:cnfStyle w:val="100000000000" w:firstRow="1" w:lastRow="0" w:firstColumn="0" w:lastColumn="0" w:oddVBand="0" w:evenVBand="0" w:oddHBand="0" w:evenHBand="0" w:firstRowFirstColumn="0" w:firstRowLastColumn="0" w:lastRowFirstColumn="0" w:lastRowLastColumn="0"/>
              <w:rPr>
                <w:rFonts w:cstheme="minorHAnsi"/>
                <w:sz w:val="22"/>
              </w:rPr>
            </w:pPr>
            <w:r w:rsidRPr="0008331A">
              <w:rPr>
                <w:rFonts w:cstheme="minorHAnsi"/>
                <w:sz w:val="22"/>
              </w:rPr>
              <w:t>Benchmark</w:t>
            </w:r>
            <w:r>
              <w:rPr>
                <w:rFonts w:cstheme="minorHAnsi"/>
                <w:sz w:val="22"/>
              </w:rPr>
              <w:t>s</w:t>
            </w:r>
            <w:r w:rsidR="005714B9">
              <w:rPr>
                <w:rFonts w:cstheme="minorHAnsi"/>
                <w:sz w:val="22"/>
              </w:rPr>
              <w:t xml:space="preserve"> - Examples</w:t>
            </w:r>
          </w:p>
        </w:tc>
        <w:tc>
          <w:tcPr>
            <w:tcW w:w="3969" w:type="dxa"/>
            <w:tcBorders>
              <w:top w:val="single" w:sz="4" w:space="0" w:color="66BD46" w:themeColor="accent2"/>
              <w:left w:val="single" w:sz="4" w:space="0" w:color="66BD46" w:themeColor="accent2"/>
              <w:bottom w:val="single" w:sz="4" w:space="0" w:color="66BD46" w:themeColor="accent2"/>
              <w:right w:val="single" w:sz="4" w:space="0" w:color="66BD46" w:themeColor="accent2"/>
            </w:tcBorders>
          </w:tcPr>
          <w:p w14:paraId="6BD9E5A3" w14:textId="4AB87E3B" w:rsidR="00D57BC6" w:rsidRPr="0008331A" w:rsidRDefault="00D57BC6" w:rsidP="00B5351F">
            <w:pPr>
              <w:cnfStyle w:val="100000000000" w:firstRow="1" w:lastRow="0" w:firstColumn="0" w:lastColumn="0" w:oddVBand="0" w:evenVBand="0" w:oddHBand="0" w:evenHBand="0" w:firstRowFirstColumn="0" w:firstRowLastColumn="0" w:lastRowFirstColumn="0" w:lastRowLastColumn="0"/>
              <w:rPr>
                <w:rFonts w:cstheme="minorHAnsi"/>
                <w:sz w:val="22"/>
              </w:rPr>
            </w:pPr>
            <w:r>
              <w:rPr>
                <w:rFonts w:cstheme="minorHAnsi"/>
                <w:sz w:val="22"/>
              </w:rPr>
              <w:t>Current Practice</w:t>
            </w:r>
          </w:p>
        </w:tc>
        <w:tc>
          <w:tcPr>
            <w:tcW w:w="3685" w:type="dxa"/>
            <w:tcBorders>
              <w:left w:val="single" w:sz="4" w:space="0" w:color="66BD46" w:themeColor="accent2"/>
            </w:tcBorders>
          </w:tcPr>
          <w:p w14:paraId="1E18A5AA" w14:textId="3D1D7114" w:rsidR="00D57BC6" w:rsidRDefault="00D57BC6" w:rsidP="00B5351F">
            <w:pPr>
              <w:cnfStyle w:val="100000000000" w:firstRow="1" w:lastRow="0" w:firstColumn="0" w:lastColumn="0" w:oddVBand="0" w:evenVBand="0" w:oddHBand="0" w:evenHBand="0" w:firstRowFirstColumn="0" w:firstRowLastColumn="0" w:lastRowFirstColumn="0" w:lastRowLastColumn="0"/>
              <w:rPr>
                <w:rFonts w:cstheme="minorHAnsi"/>
                <w:sz w:val="22"/>
              </w:rPr>
            </w:pPr>
            <w:r>
              <w:rPr>
                <w:rFonts w:cstheme="minorHAnsi"/>
                <w:sz w:val="22"/>
              </w:rPr>
              <w:t>How to Improve</w:t>
            </w:r>
          </w:p>
        </w:tc>
      </w:tr>
      <w:tr w:rsidR="00D57BC6" w:rsidRPr="0008331A" w14:paraId="1F2D3540" w14:textId="3298250E" w:rsidTr="00A02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Borders>
              <w:right w:val="single" w:sz="4" w:space="0" w:color="66BD46" w:themeColor="accent2"/>
            </w:tcBorders>
          </w:tcPr>
          <w:p w14:paraId="4417714E" w14:textId="6F852715" w:rsidR="00D57BC6" w:rsidRPr="0008331A" w:rsidRDefault="00D57BC6" w:rsidP="0008331A">
            <w:pPr>
              <w:rPr>
                <w:rFonts w:cstheme="minorHAnsi"/>
                <w:b w:val="0"/>
                <w:sz w:val="22"/>
              </w:rPr>
            </w:pPr>
            <w:r w:rsidRPr="0008331A">
              <w:rPr>
                <w:rFonts w:cstheme="minorHAnsi"/>
                <w:sz w:val="22"/>
              </w:rPr>
              <w:t>1.</w:t>
            </w:r>
            <w:r>
              <w:rPr>
                <w:rFonts w:cstheme="minorHAnsi"/>
                <w:sz w:val="22"/>
              </w:rPr>
              <w:t>1</w:t>
            </w:r>
            <w:r w:rsidRPr="0008331A">
              <w:rPr>
                <w:rFonts w:cstheme="minorHAnsi"/>
                <w:sz w:val="22"/>
              </w:rPr>
              <w:t xml:space="preserve"> Prejudice-related bullying and incidents are dealt with effectively</w:t>
            </w:r>
          </w:p>
          <w:p w14:paraId="6AB50900" w14:textId="77777777" w:rsidR="00D57BC6" w:rsidRPr="0008331A" w:rsidRDefault="00D57BC6" w:rsidP="00B5351F">
            <w:pPr>
              <w:rPr>
                <w:rFonts w:cstheme="minorHAnsi"/>
                <w:sz w:val="22"/>
              </w:rPr>
            </w:pPr>
          </w:p>
        </w:tc>
        <w:tc>
          <w:tcPr>
            <w:tcW w:w="4961" w:type="dxa"/>
            <w:tcBorders>
              <w:left w:val="single" w:sz="4" w:space="0" w:color="66BD46" w:themeColor="accent2"/>
              <w:right w:val="single" w:sz="4" w:space="0" w:color="66BD46" w:themeColor="accent2"/>
            </w:tcBorders>
          </w:tcPr>
          <w:p w14:paraId="2DCD223A" w14:textId="74FDAFC1" w:rsidR="00D57BC6" w:rsidRPr="005714B9" w:rsidRDefault="00D57BC6" w:rsidP="0008331A">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cstheme="minorHAnsi"/>
                <w:sz w:val="22"/>
              </w:rPr>
            </w:pPr>
            <w:r w:rsidRPr="005714B9">
              <w:rPr>
                <w:rFonts w:cstheme="minorHAnsi"/>
                <w:sz w:val="22"/>
              </w:rPr>
              <w:t>The school has a robust anti-bullying policy with specific mention of identity-based bullying, including homophobic, biphobic and transphobic (HBT) bullying</w:t>
            </w:r>
          </w:p>
          <w:p w14:paraId="31A6CFDB" w14:textId="0E7F2D8B" w:rsidR="00D57BC6" w:rsidRPr="005714B9" w:rsidRDefault="00D57BC6" w:rsidP="0008331A">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cstheme="minorHAnsi"/>
                <w:sz w:val="22"/>
              </w:rPr>
            </w:pPr>
            <w:r w:rsidRPr="005714B9">
              <w:rPr>
                <w:rFonts w:cstheme="minorHAnsi"/>
                <w:sz w:val="22"/>
              </w:rPr>
              <w:t>There are clear procedures in place for recognising and responding to all prejudice-related incidents</w:t>
            </w:r>
            <w:r w:rsidRPr="005714B9">
              <w:rPr>
                <w:rFonts w:cstheme="minorHAnsi"/>
                <w:b/>
                <w:sz w:val="22"/>
              </w:rPr>
              <w:t xml:space="preserve"> </w:t>
            </w:r>
          </w:p>
          <w:p w14:paraId="6780D4A8" w14:textId="44C3C7DE" w:rsidR="00D57BC6" w:rsidRPr="005714B9" w:rsidRDefault="00D57BC6" w:rsidP="0008331A">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cstheme="minorHAnsi"/>
                <w:sz w:val="22"/>
              </w:rPr>
            </w:pPr>
            <w:r w:rsidRPr="005714B9">
              <w:rPr>
                <w:rFonts w:cstheme="minorHAnsi"/>
                <w:sz w:val="22"/>
              </w:rPr>
              <w:t xml:space="preserve">All prejudice-related incidents are recorded, using a separate system to the behaviour log </w:t>
            </w:r>
          </w:p>
          <w:p w14:paraId="546B118A" w14:textId="5336F7DC" w:rsidR="00D57BC6" w:rsidRPr="005714B9" w:rsidRDefault="00D57BC6" w:rsidP="0008331A">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cstheme="minorHAnsi"/>
                <w:sz w:val="22"/>
              </w:rPr>
            </w:pPr>
            <w:r w:rsidRPr="005714B9">
              <w:rPr>
                <w:rFonts w:cstheme="minorHAnsi"/>
                <w:sz w:val="22"/>
              </w:rPr>
              <w:lastRenderedPageBreak/>
              <w:t>All staff receive training on how to recognise and respond to incidents of HBT bullying</w:t>
            </w:r>
          </w:p>
          <w:p w14:paraId="2A8CB32D" w14:textId="77777777" w:rsidR="00D57BC6" w:rsidRPr="005714B9" w:rsidRDefault="00D57BC6" w:rsidP="0008331A">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cstheme="minorHAnsi"/>
                <w:sz w:val="22"/>
              </w:rPr>
            </w:pPr>
            <w:r w:rsidRPr="005714B9">
              <w:rPr>
                <w:rFonts w:cstheme="minorHAnsi"/>
                <w:sz w:val="22"/>
              </w:rPr>
              <w:t>Pupil-friendly versions of the anti-bullying policy are shared with pupils</w:t>
            </w:r>
          </w:p>
          <w:p w14:paraId="47EDBB35" w14:textId="77777777" w:rsidR="00D57BC6" w:rsidRPr="005714B9" w:rsidRDefault="00D57BC6" w:rsidP="0008331A">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cstheme="minorHAnsi"/>
                <w:sz w:val="22"/>
              </w:rPr>
            </w:pPr>
            <w:r w:rsidRPr="005714B9">
              <w:rPr>
                <w:rFonts w:cstheme="minorHAnsi"/>
                <w:sz w:val="22"/>
              </w:rPr>
              <w:t>Pupils have access to different ways of reporting prejudice-related incidents</w:t>
            </w:r>
          </w:p>
          <w:p w14:paraId="0633AF75" w14:textId="178B0ECC" w:rsidR="00D57BC6" w:rsidRPr="005714B9" w:rsidRDefault="00D57BC6" w:rsidP="0008331A">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cstheme="minorHAnsi"/>
                <w:sz w:val="22"/>
              </w:rPr>
            </w:pPr>
            <w:r w:rsidRPr="005714B9">
              <w:rPr>
                <w:rFonts w:cstheme="minorHAnsi"/>
                <w:sz w:val="22"/>
              </w:rPr>
              <w:t>The results of pupil surveys show that pupils trust leaders to respond effectively to incidents of HBT bullying and know who to go to if they have an issue</w:t>
            </w:r>
          </w:p>
          <w:p w14:paraId="3E2744D4" w14:textId="7BEA1A28" w:rsidR="00D57BC6" w:rsidRPr="0008331A" w:rsidRDefault="00D57BC6" w:rsidP="0008331A">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cstheme="minorHAnsi"/>
                <w:sz w:val="22"/>
              </w:rPr>
            </w:pPr>
            <w:r w:rsidRPr="005714B9">
              <w:rPr>
                <w:rFonts w:cstheme="minorHAnsi"/>
                <w:sz w:val="22"/>
              </w:rPr>
              <w:t>Senior leaders and governors are aware of the prevalence and type of HBT bullying incidents in the school and strategies are developed based on this data</w:t>
            </w:r>
          </w:p>
        </w:tc>
        <w:tc>
          <w:tcPr>
            <w:tcW w:w="3969" w:type="dxa"/>
            <w:tcBorders>
              <w:left w:val="single" w:sz="4" w:space="0" w:color="66BD46" w:themeColor="accent2"/>
              <w:right w:val="single" w:sz="4" w:space="0" w:color="66BD46" w:themeColor="accent2"/>
            </w:tcBorders>
          </w:tcPr>
          <w:p w14:paraId="6A65BEEF" w14:textId="6DEEC26F" w:rsidR="00BB70ED" w:rsidRPr="0008331A" w:rsidRDefault="00BB70ED" w:rsidP="005D5389">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sz w:val="22"/>
              </w:rPr>
            </w:pPr>
          </w:p>
        </w:tc>
        <w:tc>
          <w:tcPr>
            <w:tcW w:w="3685" w:type="dxa"/>
            <w:tcBorders>
              <w:left w:val="single" w:sz="4" w:space="0" w:color="66BD46" w:themeColor="accent2"/>
            </w:tcBorders>
          </w:tcPr>
          <w:p w14:paraId="54A763DA" w14:textId="13D41CC4" w:rsidR="00BB70ED" w:rsidRPr="00965191" w:rsidRDefault="00BB70ED" w:rsidP="00BB70ED">
            <w:pPr>
              <w:cnfStyle w:val="000000100000" w:firstRow="0" w:lastRow="0" w:firstColumn="0" w:lastColumn="0" w:oddVBand="0" w:evenVBand="0" w:oddHBand="1" w:evenHBand="0" w:firstRowFirstColumn="0" w:firstRowLastColumn="0" w:lastRowFirstColumn="0" w:lastRowLastColumn="0"/>
            </w:pPr>
          </w:p>
        </w:tc>
      </w:tr>
      <w:tr w:rsidR="00D57BC6" w:rsidRPr="0008331A" w14:paraId="227F498E" w14:textId="4B623A08" w:rsidTr="00A021F1">
        <w:tc>
          <w:tcPr>
            <w:cnfStyle w:val="001000000000" w:firstRow="0" w:lastRow="0" w:firstColumn="1" w:lastColumn="0" w:oddVBand="0" w:evenVBand="0" w:oddHBand="0" w:evenHBand="0" w:firstRowFirstColumn="0" w:firstRowLastColumn="0" w:lastRowFirstColumn="0" w:lastRowLastColumn="0"/>
            <w:tcW w:w="1986" w:type="dxa"/>
            <w:tcBorders>
              <w:top w:val="single" w:sz="4" w:space="0" w:color="66BD46" w:themeColor="accent2"/>
              <w:bottom w:val="single" w:sz="4" w:space="0" w:color="66BD46" w:themeColor="accent2"/>
              <w:right w:val="single" w:sz="4" w:space="0" w:color="66BD46" w:themeColor="accent2"/>
            </w:tcBorders>
          </w:tcPr>
          <w:p w14:paraId="7FCFCB53" w14:textId="48D6B00B" w:rsidR="00D57BC6" w:rsidRPr="0008331A" w:rsidRDefault="00D57BC6" w:rsidP="0008331A">
            <w:pPr>
              <w:rPr>
                <w:rFonts w:cstheme="minorHAnsi"/>
                <w:b w:val="0"/>
                <w:sz w:val="22"/>
              </w:rPr>
            </w:pPr>
            <w:r w:rsidRPr="0008331A">
              <w:rPr>
                <w:rFonts w:cstheme="minorHAnsi"/>
                <w:sz w:val="22"/>
              </w:rPr>
              <w:lastRenderedPageBreak/>
              <w:t>1.</w:t>
            </w:r>
            <w:r>
              <w:rPr>
                <w:rFonts w:cstheme="minorHAnsi"/>
                <w:sz w:val="22"/>
              </w:rPr>
              <w:t>2</w:t>
            </w:r>
            <w:r w:rsidRPr="0008331A">
              <w:rPr>
                <w:rFonts w:cstheme="minorHAnsi"/>
                <w:sz w:val="22"/>
              </w:rPr>
              <w:t xml:space="preserve"> Parents and carers know how to make a complaint of discrimination, harassment and/or victimisation and these are managed in a sensitive, just and empathetic way</w:t>
            </w:r>
          </w:p>
          <w:p w14:paraId="2460A49B" w14:textId="77777777" w:rsidR="00D57BC6" w:rsidRPr="0008331A" w:rsidRDefault="00D57BC6" w:rsidP="00B5351F">
            <w:pPr>
              <w:rPr>
                <w:rFonts w:cstheme="minorHAnsi"/>
                <w:sz w:val="22"/>
              </w:rPr>
            </w:pPr>
          </w:p>
        </w:tc>
        <w:tc>
          <w:tcPr>
            <w:tcW w:w="4961" w:type="dxa"/>
            <w:tcBorders>
              <w:top w:val="single" w:sz="4" w:space="0" w:color="66BD46" w:themeColor="accent2"/>
              <w:left w:val="single" w:sz="4" w:space="0" w:color="66BD46" w:themeColor="accent2"/>
              <w:bottom w:val="single" w:sz="4" w:space="0" w:color="66BD46" w:themeColor="accent2"/>
              <w:right w:val="single" w:sz="4" w:space="0" w:color="66BD46" w:themeColor="accent2"/>
            </w:tcBorders>
          </w:tcPr>
          <w:p w14:paraId="1375590C" w14:textId="77777777" w:rsidR="00D57BC6" w:rsidRPr="005714B9" w:rsidRDefault="00D57BC6" w:rsidP="0008331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 w:val="22"/>
              </w:rPr>
            </w:pPr>
            <w:r w:rsidRPr="005714B9">
              <w:rPr>
                <w:rFonts w:cstheme="minorHAnsi"/>
                <w:sz w:val="22"/>
              </w:rPr>
              <w:t xml:space="preserve">The school has a clear policy and procedures to deal with concerns and complaints, which are communicated to parents and carers </w:t>
            </w:r>
          </w:p>
          <w:p w14:paraId="17E5ED31" w14:textId="77777777" w:rsidR="00D57BC6" w:rsidRPr="005714B9" w:rsidRDefault="00D57BC6" w:rsidP="0008331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 w:val="22"/>
              </w:rPr>
            </w:pPr>
            <w:r w:rsidRPr="005714B9">
              <w:rPr>
                <w:rFonts w:cstheme="minorHAnsi"/>
                <w:sz w:val="22"/>
              </w:rPr>
              <w:t>A member of the SLT coordinates how complaints by parents and carers are dealt with, keeps accurate records, and ensures that the complainant is kept updated at all stages of the process</w:t>
            </w:r>
          </w:p>
          <w:p w14:paraId="6AC91D61" w14:textId="77777777" w:rsidR="00D57BC6" w:rsidRPr="005714B9" w:rsidRDefault="00D57BC6" w:rsidP="0008331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 w:val="22"/>
              </w:rPr>
            </w:pPr>
            <w:r w:rsidRPr="005714B9">
              <w:rPr>
                <w:rFonts w:cstheme="minorHAnsi"/>
                <w:sz w:val="22"/>
              </w:rPr>
              <w:t>Complaints are dealt with in a timely fashion</w:t>
            </w:r>
          </w:p>
          <w:p w14:paraId="4079155D" w14:textId="77777777" w:rsidR="00D57BC6" w:rsidRPr="005714B9" w:rsidRDefault="00D57BC6" w:rsidP="0008331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 w:val="22"/>
              </w:rPr>
            </w:pPr>
            <w:r w:rsidRPr="005714B9">
              <w:rPr>
                <w:rFonts w:cstheme="minorHAnsi"/>
                <w:sz w:val="22"/>
              </w:rPr>
              <w:t>Interviews with complainants and others involved in the complaint are conducted with an open mind and in a sensitive fashion</w:t>
            </w:r>
          </w:p>
          <w:p w14:paraId="003565D5" w14:textId="77777777" w:rsidR="00D57BC6" w:rsidRPr="005714B9" w:rsidRDefault="00D57BC6" w:rsidP="0008331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 w:val="22"/>
              </w:rPr>
            </w:pPr>
            <w:r w:rsidRPr="005714B9">
              <w:rPr>
                <w:rFonts w:cstheme="minorHAnsi"/>
                <w:sz w:val="22"/>
              </w:rPr>
              <w:lastRenderedPageBreak/>
              <w:t>Results from parent/carers surveys show that parents trust the school to respond effectively to complaints</w:t>
            </w:r>
          </w:p>
          <w:p w14:paraId="2A97854F" w14:textId="00911164" w:rsidR="00D57BC6" w:rsidRPr="005714B9" w:rsidRDefault="00D57BC6" w:rsidP="00B5351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 w:val="22"/>
              </w:rPr>
            </w:pPr>
            <w:r w:rsidRPr="005714B9">
              <w:rPr>
                <w:rFonts w:cstheme="minorHAnsi"/>
                <w:sz w:val="22"/>
              </w:rPr>
              <w:t>The governing body reviews the handling of complaints at regular intervals to inform improvements and the effectiveness of the complaints procedure</w:t>
            </w:r>
          </w:p>
        </w:tc>
        <w:tc>
          <w:tcPr>
            <w:tcW w:w="3969" w:type="dxa"/>
            <w:tcBorders>
              <w:top w:val="single" w:sz="4" w:space="0" w:color="66BD46" w:themeColor="accent2"/>
              <w:left w:val="single" w:sz="4" w:space="0" w:color="66BD46" w:themeColor="accent2"/>
              <w:bottom w:val="single" w:sz="4" w:space="0" w:color="66BD46" w:themeColor="accent2"/>
              <w:right w:val="single" w:sz="4" w:space="0" w:color="66BD46" w:themeColor="accent2"/>
            </w:tcBorders>
          </w:tcPr>
          <w:p w14:paraId="1F8E4C0B" w14:textId="2BD858DD" w:rsidR="00F94306" w:rsidRPr="0008331A" w:rsidRDefault="00F94306" w:rsidP="005D5389">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sz w:val="22"/>
              </w:rPr>
            </w:pPr>
          </w:p>
        </w:tc>
        <w:tc>
          <w:tcPr>
            <w:tcW w:w="3685" w:type="dxa"/>
            <w:tcBorders>
              <w:left w:val="single" w:sz="4" w:space="0" w:color="66BD46" w:themeColor="accent2"/>
            </w:tcBorders>
          </w:tcPr>
          <w:p w14:paraId="1259353A" w14:textId="7BA609F1" w:rsidR="00D57BC6" w:rsidRPr="0008331A" w:rsidRDefault="00D57BC6" w:rsidP="005D5389">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D57BC6" w:rsidRPr="0008331A" w14:paraId="204E4C23" w14:textId="035BB044" w:rsidTr="00A02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Borders>
              <w:right w:val="single" w:sz="4" w:space="0" w:color="66BD46" w:themeColor="accent2"/>
            </w:tcBorders>
          </w:tcPr>
          <w:p w14:paraId="0AF2ECF2" w14:textId="17CB0AE8" w:rsidR="00D57BC6" w:rsidRPr="0008331A" w:rsidRDefault="00D57BC6" w:rsidP="0008331A">
            <w:pPr>
              <w:rPr>
                <w:rFonts w:cstheme="minorHAnsi"/>
                <w:b w:val="0"/>
                <w:sz w:val="22"/>
              </w:rPr>
            </w:pPr>
            <w:r w:rsidRPr="0008331A">
              <w:rPr>
                <w:rFonts w:cstheme="minorHAnsi"/>
                <w:sz w:val="22"/>
              </w:rPr>
              <w:t>1.</w:t>
            </w:r>
            <w:r>
              <w:rPr>
                <w:rFonts w:cstheme="minorHAnsi"/>
                <w:sz w:val="22"/>
              </w:rPr>
              <w:t>3</w:t>
            </w:r>
            <w:r w:rsidRPr="0008331A">
              <w:rPr>
                <w:rFonts w:cstheme="minorHAnsi"/>
                <w:sz w:val="22"/>
              </w:rPr>
              <w:t xml:space="preserve"> Staff members treat each other, pupils and parents/carers with respect and feel able to make a complaint of discrimination, harassment and/or victimisation and these are managed in a sensitive, just and empathetic way</w:t>
            </w:r>
          </w:p>
          <w:p w14:paraId="0835860F" w14:textId="77777777" w:rsidR="00D57BC6" w:rsidRPr="0008331A" w:rsidRDefault="00D57BC6" w:rsidP="00B5351F">
            <w:pPr>
              <w:rPr>
                <w:rFonts w:cstheme="minorHAnsi"/>
                <w:sz w:val="22"/>
              </w:rPr>
            </w:pPr>
          </w:p>
        </w:tc>
        <w:tc>
          <w:tcPr>
            <w:tcW w:w="4961" w:type="dxa"/>
            <w:tcBorders>
              <w:left w:val="single" w:sz="4" w:space="0" w:color="66BD46" w:themeColor="accent2"/>
              <w:right w:val="single" w:sz="4" w:space="0" w:color="66BD46" w:themeColor="accent2"/>
            </w:tcBorders>
          </w:tcPr>
          <w:p w14:paraId="4A650CDF" w14:textId="77777777" w:rsidR="00D57BC6" w:rsidRPr="005714B9" w:rsidRDefault="00D57BC6" w:rsidP="0008331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b/>
                <w:sz w:val="22"/>
              </w:rPr>
            </w:pPr>
            <w:r w:rsidRPr="005714B9">
              <w:rPr>
                <w:rFonts w:cstheme="minorHAnsi"/>
                <w:sz w:val="22"/>
              </w:rPr>
              <w:t>There is a robust staff behaviour policy or code of conduct in place which includes a whistleblowing procedure to allow staff to raise concerns</w:t>
            </w:r>
            <w:r w:rsidRPr="005714B9">
              <w:rPr>
                <w:rFonts w:cstheme="minorHAnsi"/>
                <w:b/>
                <w:sz w:val="22"/>
              </w:rPr>
              <w:t xml:space="preserve"> </w:t>
            </w:r>
          </w:p>
          <w:p w14:paraId="21AB917E" w14:textId="77777777" w:rsidR="00D57BC6" w:rsidRPr="005714B9" w:rsidRDefault="00D57BC6" w:rsidP="0008331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sz w:val="22"/>
              </w:rPr>
            </w:pPr>
            <w:r w:rsidRPr="005714B9">
              <w:rPr>
                <w:rFonts w:cstheme="minorHAnsi"/>
                <w:sz w:val="22"/>
              </w:rPr>
              <w:t>All staff are aware of the different routes open to them to report a concern both within and outside school</w:t>
            </w:r>
          </w:p>
          <w:p w14:paraId="4DF95761" w14:textId="77777777" w:rsidR="00D57BC6" w:rsidRPr="005714B9" w:rsidRDefault="00D57BC6" w:rsidP="0008331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b/>
                <w:sz w:val="22"/>
              </w:rPr>
            </w:pPr>
            <w:r w:rsidRPr="005714B9">
              <w:rPr>
                <w:rFonts w:cstheme="minorHAnsi"/>
                <w:sz w:val="22"/>
              </w:rPr>
              <w:t>Staff receive training about appropriate and inappropriate terminology and jokes and what to do if they have a concern about colleagues’ behaviour</w:t>
            </w:r>
          </w:p>
          <w:p w14:paraId="7199FE73" w14:textId="77777777" w:rsidR="00D57BC6" w:rsidRPr="005714B9" w:rsidRDefault="00D57BC6" w:rsidP="0008331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sz w:val="22"/>
              </w:rPr>
            </w:pPr>
            <w:r w:rsidRPr="005714B9">
              <w:rPr>
                <w:rFonts w:cstheme="minorHAnsi"/>
                <w:sz w:val="22"/>
              </w:rPr>
              <w:t>Staff surveys show that staff would feel able to make a complaint if they needed to and that they feel safe, valued and included in school</w:t>
            </w:r>
          </w:p>
          <w:p w14:paraId="0864AD24" w14:textId="36253C9C" w:rsidR="00D57BC6" w:rsidRPr="00EA2A4F" w:rsidRDefault="00D57BC6" w:rsidP="00B5351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sz w:val="22"/>
              </w:rPr>
            </w:pPr>
            <w:r w:rsidRPr="005714B9">
              <w:rPr>
                <w:rFonts w:cstheme="minorHAnsi"/>
                <w:sz w:val="22"/>
              </w:rPr>
              <w:t>The governing body reviews the handling of concerns and complaints at regular intervals to inform improvements and the effectiveness of the behaviour policy</w:t>
            </w:r>
          </w:p>
        </w:tc>
        <w:tc>
          <w:tcPr>
            <w:tcW w:w="3969" w:type="dxa"/>
            <w:tcBorders>
              <w:left w:val="single" w:sz="4" w:space="0" w:color="66BD46" w:themeColor="accent2"/>
              <w:right w:val="single" w:sz="4" w:space="0" w:color="66BD46" w:themeColor="accent2"/>
            </w:tcBorders>
          </w:tcPr>
          <w:p w14:paraId="1A8EC70D" w14:textId="71C2C263" w:rsidR="00F94306" w:rsidRPr="00F94306" w:rsidRDefault="00F94306" w:rsidP="00F94306">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sz w:val="22"/>
              </w:rPr>
            </w:pPr>
          </w:p>
        </w:tc>
        <w:tc>
          <w:tcPr>
            <w:tcW w:w="3685" w:type="dxa"/>
            <w:tcBorders>
              <w:left w:val="single" w:sz="4" w:space="0" w:color="66BD46" w:themeColor="accent2"/>
            </w:tcBorders>
          </w:tcPr>
          <w:p w14:paraId="6F85CB09" w14:textId="25D5E8EF" w:rsidR="00F94306" w:rsidRPr="0008331A" w:rsidRDefault="00F94306" w:rsidP="005D5389">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sz w:val="22"/>
              </w:rPr>
            </w:pPr>
          </w:p>
        </w:tc>
      </w:tr>
    </w:tbl>
    <w:p w14:paraId="7930A154" w14:textId="77777777" w:rsidR="00D57BC6" w:rsidRDefault="00D57BC6" w:rsidP="006B0B50">
      <w:pPr>
        <w:pStyle w:val="Heading1"/>
        <w:spacing w:before="0"/>
        <w:rPr>
          <w:color w:val="275BA9" w:themeColor="accent1"/>
        </w:rPr>
      </w:pPr>
    </w:p>
    <w:p w14:paraId="5BC296F0" w14:textId="77777777" w:rsidR="00052E4B" w:rsidRDefault="00052E4B" w:rsidP="00D57BC6">
      <w:pPr>
        <w:pStyle w:val="Heading1"/>
        <w:spacing w:before="0"/>
        <w:rPr>
          <w:color w:val="275BA9" w:themeColor="accent1"/>
        </w:rPr>
      </w:pPr>
    </w:p>
    <w:p w14:paraId="60A8C9ED" w14:textId="6A731391" w:rsidR="00D57BC6" w:rsidRPr="00D57BC6" w:rsidRDefault="006B0B50" w:rsidP="00D57BC6">
      <w:pPr>
        <w:pStyle w:val="Heading1"/>
        <w:spacing w:before="0"/>
        <w:rPr>
          <w:color w:val="275BA9" w:themeColor="accent1"/>
        </w:rPr>
      </w:pPr>
      <w:r w:rsidRPr="006B0B50">
        <w:rPr>
          <w:color w:val="275BA9" w:themeColor="accent1"/>
        </w:rPr>
        <w:lastRenderedPageBreak/>
        <w:t>Leadership and Management</w:t>
      </w:r>
    </w:p>
    <w:tbl>
      <w:tblPr>
        <w:tblStyle w:val="ListTable3-Accent11"/>
        <w:tblW w:w="14601" w:type="dxa"/>
        <w:tblInd w:w="-431" w:type="dxa"/>
        <w:tblLayout w:type="fixed"/>
        <w:tblLook w:val="04A0" w:firstRow="1" w:lastRow="0" w:firstColumn="1" w:lastColumn="0" w:noHBand="0" w:noVBand="1"/>
      </w:tblPr>
      <w:tblGrid>
        <w:gridCol w:w="1986"/>
        <w:gridCol w:w="4961"/>
        <w:gridCol w:w="3969"/>
        <w:gridCol w:w="3685"/>
      </w:tblGrid>
      <w:tr w:rsidR="00A021F1" w:rsidRPr="00801D98" w14:paraId="7B42354C" w14:textId="74BCA14D" w:rsidTr="00A021F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6" w:type="dxa"/>
            <w:tcBorders>
              <w:right w:val="single" w:sz="4" w:space="0" w:color="275BA9" w:themeColor="accent1"/>
            </w:tcBorders>
          </w:tcPr>
          <w:p w14:paraId="1D320487" w14:textId="346B35E1" w:rsidR="00A021F1" w:rsidRPr="00801D98" w:rsidRDefault="00A021F1" w:rsidP="006B0B50">
            <w:pPr>
              <w:rPr>
                <w:sz w:val="22"/>
              </w:rPr>
            </w:pPr>
            <w:r w:rsidRPr="00801D98">
              <w:rPr>
                <w:sz w:val="22"/>
              </w:rPr>
              <w:t>Indicator</w:t>
            </w:r>
          </w:p>
        </w:tc>
        <w:tc>
          <w:tcPr>
            <w:tcW w:w="4961" w:type="dxa"/>
            <w:tcBorders>
              <w:left w:val="single" w:sz="4" w:space="0" w:color="275BA9" w:themeColor="accent1"/>
              <w:right w:val="single" w:sz="4" w:space="0" w:color="275BA9" w:themeColor="accent1"/>
            </w:tcBorders>
          </w:tcPr>
          <w:p w14:paraId="22E47E9E" w14:textId="21CAAD4A" w:rsidR="00A021F1" w:rsidRPr="00801D98" w:rsidRDefault="00A021F1" w:rsidP="006B0B50">
            <w:pPr>
              <w:cnfStyle w:val="100000000000" w:firstRow="1" w:lastRow="0" w:firstColumn="0" w:lastColumn="0" w:oddVBand="0" w:evenVBand="0" w:oddHBand="0" w:evenHBand="0" w:firstRowFirstColumn="0" w:firstRowLastColumn="0" w:lastRowFirstColumn="0" w:lastRowLastColumn="0"/>
              <w:rPr>
                <w:sz w:val="22"/>
              </w:rPr>
            </w:pPr>
            <w:r w:rsidRPr="00801D98">
              <w:rPr>
                <w:sz w:val="22"/>
              </w:rPr>
              <w:t>Benchmarks</w:t>
            </w:r>
          </w:p>
        </w:tc>
        <w:tc>
          <w:tcPr>
            <w:tcW w:w="3969" w:type="dxa"/>
            <w:tcBorders>
              <w:left w:val="single" w:sz="4" w:space="0" w:color="275BA9" w:themeColor="accent1"/>
              <w:right w:val="single" w:sz="4" w:space="0" w:color="275BA9" w:themeColor="accent1"/>
            </w:tcBorders>
          </w:tcPr>
          <w:p w14:paraId="79914548" w14:textId="3AB37587" w:rsidR="00A021F1" w:rsidRPr="00801D98" w:rsidRDefault="00A021F1" w:rsidP="006B0B50">
            <w:pPr>
              <w:cnfStyle w:val="100000000000" w:firstRow="1" w:lastRow="0" w:firstColumn="0" w:lastColumn="0" w:oddVBand="0" w:evenVBand="0" w:oddHBand="0" w:evenHBand="0" w:firstRowFirstColumn="0" w:firstRowLastColumn="0" w:lastRowFirstColumn="0" w:lastRowLastColumn="0"/>
              <w:rPr>
                <w:sz w:val="22"/>
              </w:rPr>
            </w:pPr>
            <w:r>
              <w:rPr>
                <w:sz w:val="22"/>
              </w:rPr>
              <w:t>Current Practice</w:t>
            </w:r>
          </w:p>
        </w:tc>
        <w:tc>
          <w:tcPr>
            <w:tcW w:w="3685" w:type="dxa"/>
            <w:tcBorders>
              <w:left w:val="single" w:sz="4" w:space="0" w:color="275BA9" w:themeColor="accent1"/>
            </w:tcBorders>
          </w:tcPr>
          <w:p w14:paraId="03850AB3" w14:textId="05993C3A" w:rsidR="00A021F1" w:rsidRPr="00801D98" w:rsidRDefault="00A021F1" w:rsidP="006B0B50">
            <w:pPr>
              <w:cnfStyle w:val="100000000000" w:firstRow="1" w:lastRow="0" w:firstColumn="0" w:lastColumn="0" w:oddVBand="0" w:evenVBand="0" w:oddHBand="0" w:evenHBand="0" w:firstRowFirstColumn="0" w:firstRowLastColumn="0" w:lastRowFirstColumn="0" w:lastRowLastColumn="0"/>
              <w:rPr>
                <w:sz w:val="22"/>
              </w:rPr>
            </w:pPr>
            <w:r>
              <w:rPr>
                <w:sz w:val="22"/>
              </w:rPr>
              <w:t>How to Improve</w:t>
            </w:r>
          </w:p>
        </w:tc>
      </w:tr>
      <w:tr w:rsidR="00A021F1" w:rsidRPr="00801D98" w14:paraId="59DCAAA1" w14:textId="21F83518" w:rsidTr="00A02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Borders>
              <w:right w:val="single" w:sz="4" w:space="0" w:color="275BA9" w:themeColor="accent1"/>
            </w:tcBorders>
          </w:tcPr>
          <w:p w14:paraId="0314DB4E" w14:textId="73EE38FF" w:rsidR="00A021F1" w:rsidRPr="00801D98" w:rsidRDefault="00A021F1" w:rsidP="006B0B50">
            <w:pPr>
              <w:rPr>
                <w:sz w:val="22"/>
              </w:rPr>
            </w:pPr>
            <w:r>
              <w:rPr>
                <w:sz w:val="22"/>
              </w:rPr>
              <w:t>2.1 Equality is core to the school’s ethos and values and communicated to all in the school community</w:t>
            </w:r>
          </w:p>
        </w:tc>
        <w:tc>
          <w:tcPr>
            <w:tcW w:w="4961" w:type="dxa"/>
            <w:tcBorders>
              <w:left w:val="single" w:sz="4" w:space="0" w:color="275BA9" w:themeColor="accent1"/>
              <w:right w:val="single" w:sz="4" w:space="0" w:color="275BA9" w:themeColor="accent1"/>
            </w:tcBorders>
          </w:tcPr>
          <w:p w14:paraId="3353902B" w14:textId="77777777" w:rsidR="00A021F1" w:rsidRPr="005714B9" w:rsidRDefault="00A021F1" w:rsidP="005D5389">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2"/>
              </w:rPr>
            </w:pPr>
            <w:r w:rsidRPr="005714B9">
              <w:rPr>
                <w:sz w:val="22"/>
              </w:rPr>
              <w:t>The school has a robust equality, diversity and inclusion policy, which is accessible to all in the school community, and has specific mention of LGBT+ equality</w:t>
            </w:r>
          </w:p>
          <w:p w14:paraId="4D5CE27F" w14:textId="77777777" w:rsidR="00A021F1" w:rsidRPr="005714B9" w:rsidRDefault="00A021F1" w:rsidP="005D5389">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2"/>
              </w:rPr>
            </w:pPr>
            <w:r w:rsidRPr="005714B9">
              <w:rPr>
                <w:sz w:val="22"/>
              </w:rPr>
              <w:t>There is mention of equality in the school’s home/school agreement</w:t>
            </w:r>
          </w:p>
          <w:p w14:paraId="1374077B" w14:textId="77777777" w:rsidR="00A021F1" w:rsidRPr="005714B9" w:rsidRDefault="00A021F1" w:rsidP="005D5389">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2"/>
              </w:rPr>
            </w:pPr>
            <w:r w:rsidRPr="005714B9">
              <w:rPr>
                <w:sz w:val="22"/>
              </w:rPr>
              <w:t>The school’s commitment to equality is clear in the school’s communications with staff, parents/carers, governors and pupils, prospective parents/carers and pupils and the wider community</w:t>
            </w:r>
          </w:p>
          <w:p w14:paraId="59C27480" w14:textId="62558C98" w:rsidR="00A021F1" w:rsidRPr="005714B9" w:rsidRDefault="00A021F1" w:rsidP="005D5389">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2"/>
              </w:rPr>
            </w:pPr>
            <w:r w:rsidRPr="005714B9">
              <w:rPr>
                <w:sz w:val="22"/>
              </w:rPr>
              <w:t>A nominated Governor/Parent Council representative works in partnership with the SLT to promote LGBT+ equality</w:t>
            </w:r>
          </w:p>
          <w:p w14:paraId="70226051" w14:textId="77777777" w:rsidR="00A021F1" w:rsidRPr="005714B9" w:rsidRDefault="00A021F1" w:rsidP="005D5389">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2"/>
              </w:rPr>
            </w:pPr>
            <w:r w:rsidRPr="005714B9">
              <w:rPr>
                <w:sz w:val="22"/>
              </w:rPr>
              <w:t>Staff, parents/carers, governors and pupils can articulate the school’s commitment to equality</w:t>
            </w:r>
          </w:p>
          <w:p w14:paraId="522DF74E" w14:textId="33FD8F01" w:rsidR="00A021F1" w:rsidRPr="005714B9" w:rsidRDefault="00A021F1" w:rsidP="005D5389">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2"/>
              </w:rPr>
            </w:pPr>
            <w:r w:rsidRPr="005714B9">
              <w:rPr>
                <w:sz w:val="22"/>
              </w:rPr>
              <w:t>The school invites parents/carers to provide feedback on the school’s commitment to equality</w:t>
            </w:r>
          </w:p>
        </w:tc>
        <w:tc>
          <w:tcPr>
            <w:tcW w:w="3969" w:type="dxa"/>
            <w:tcBorders>
              <w:left w:val="single" w:sz="4" w:space="0" w:color="275BA9" w:themeColor="accent1"/>
              <w:right w:val="single" w:sz="4" w:space="0" w:color="275BA9" w:themeColor="accent1"/>
            </w:tcBorders>
          </w:tcPr>
          <w:p w14:paraId="25C44C50" w14:textId="0FC7F5F9" w:rsidR="00952E3A" w:rsidRDefault="00952E3A" w:rsidP="006B0B50">
            <w:pPr>
              <w:cnfStyle w:val="000000100000" w:firstRow="0" w:lastRow="0" w:firstColumn="0" w:lastColumn="0" w:oddVBand="0" w:evenVBand="0" w:oddHBand="1" w:evenHBand="0" w:firstRowFirstColumn="0" w:firstRowLastColumn="0" w:lastRowFirstColumn="0" w:lastRowLastColumn="0"/>
              <w:rPr>
                <w:sz w:val="22"/>
              </w:rPr>
            </w:pPr>
          </w:p>
        </w:tc>
        <w:tc>
          <w:tcPr>
            <w:tcW w:w="3685" w:type="dxa"/>
            <w:tcBorders>
              <w:left w:val="single" w:sz="4" w:space="0" w:color="275BA9" w:themeColor="accent1"/>
            </w:tcBorders>
          </w:tcPr>
          <w:p w14:paraId="4A1998CF" w14:textId="03A7961A" w:rsidR="00952E3A" w:rsidRDefault="00952E3A" w:rsidP="006B0B50">
            <w:pPr>
              <w:cnfStyle w:val="000000100000" w:firstRow="0" w:lastRow="0" w:firstColumn="0" w:lastColumn="0" w:oddVBand="0" w:evenVBand="0" w:oddHBand="1" w:evenHBand="0" w:firstRowFirstColumn="0" w:firstRowLastColumn="0" w:lastRowFirstColumn="0" w:lastRowLastColumn="0"/>
              <w:rPr>
                <w:sz w:val="22"/>
              </w:rPr>
            </w:pPr>
          </w:p>
        </w:tc>
      </w:tr>
      <w:tr w:rsidR="00A021F1" w:rsidRPr="00801D98" w14:paraId="7CE13E5A" w14:textId="530814CA" w:rsidTr="007D3687">
        <w:trPr>
          <w:trHeight w:val="1266"/>
        </w:trPr>
        <w:tc>
          <w:tcPr>
            <w:cnfStyle w:val="001000000000" w:firstRow="0" w:lastRow="0" w:firstColumn="1" w:lastColumn="0" w:oddVBand="0" w:evenVBand="0" w:oddHBand="0" w:evenHBand="0" w:firstRowFirstColumn="0" w:firstRowLastColumn="0" w:lastRowFirstColumn="0" w:lastRowLastColumn="0"/>
            <w:tcW w:w="1986" w:type="dxa"/>
            <w:tcBorders>
              <w:right w:val="single" w:sz="4" w:space="0" w:color="275BA9" w:themeColor="accent1"/>
            </w:tcBorders>
          </w:tcPr>
          <w:p w14:paraId="4F19E3D2" w14:textId="40F1C519" w:rsidR="00A021F1" w:rsidRPr="00801D98" w:rsidRDefault="00A021F1" w:rsidP="00801D98">
            <w:pPr>
              <w:rPr>
                <w:sz w:val="22"/>
              </w:rPr>
            </w:pPr>
            <w:r w:rsidRPr="00801D98">
              <w:rPr>
                <w:sz w:val="22"/>
              </w:rPr>
              <w:t>2.</w:t>
            </w:r>
            <w:r>
              <w:rPr>
                <w:sz w:val="22"/>
              </w:rPr>
              <w:t>2</w:t>
            </w:r>
            <w:r w:rsidRPr="00801D98">
              <w:rPr>
                <w:sz w:val="22"/>
              </w:rPr>
              <w:t xml:space="preserve"> All members of the staff team receive continuous professional development </w:t>
            </w:r>
            <w:r w:rsidRPr="00801D98">
              <w:rPr>
                <w:sz w:val="22"/>
              </w:rPr>
              <w:lastRenderedPageBreak/>
              <w:t xml:space="preserve">on issues of </w:t>
            </w:r>
            <w:r>
              <w:rPr>
                <w:sz w:val="22"/>
              </w:rPr>
              <w:t>LGBT+ equality</w:t>
            </w:r>
          </w:p>
          <w:p w14:paraId="09BE2A7A" w14:textId="77777777" w:rsidR="00A021F1" w:rsidRPr="00801D98" w:rsidRDefault="00A021F1" w:rsidP="006B0B50">
            <w:pPr>
              <w:rPr>
                <w:sz w:val="22"/>
              </w:rPr>
            </w:pPr>
          </w:p>
        </w:tc>
        <w:tc>
          <w:tcPr>
            <w:tcW w:w="4961" w:type="dxa"/>
            <w:tcBorders>
              <w:left w:val="single" w:sz="4" w:space="0" w:color="275BA9" w:themeColor="accent1"/>
              <w:right w:val="single" w:sz="4" w:space="0" w:color="275BA9" w:themeColor="accent1"/>
            </w:tcBorders>
          </w:tcPr>
          <w:p w14:paraId="322EB9EE" w14:textId="09168BA3" w:rsidR="00A021F1" w:rsidRPr="005714B9" w:rsidRDefault="00A021F1" w:rsidP="00801D98">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2"/>
              </w:rPr>
            </w:pPr>
            <w:r w:rsidRPr="005714B9">
              <w:rPr>
                <w:sz w:val="22"/>
              </w:rPr>
              <w:lastRenderedPageBreak/>
              <w:t>Training on LGBT+ equality is part of a member of staff member’s induction process</w:t>
            </w:r>
          </w:p>
          <w:p w14:paraId="459FB88D" w14:textId="54322064" w:rsidR="00A021F1" w:rsidRPr="005714B9" w:rsidRDefault="00A021F1" w:rsidP="00801D9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2"/>
              </w:rPr>
            </w:pPr>
            <w:r w:rsidRPr="005714B9">
              <w:rPr>
                <w:sz w:val="22"/>
              </w:rPr>
              <w:t>LGBT+ equality issues are included in staff briefings</w:t>
            </w:r>
          </w:p>
          <w:p w14:paraId="1B77D1F1" w14:textId="245B8D6E" w:rsidR="00A021F1" w:rsidRPr="005714B9" w:rsidRDefault="00A021F1" w:rsidP="00801D9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2"/>
              </w:rPr>
            </w:pPr>
            <w:r w:rsidRPr="005714B9">
              <w:rPr>
                <w:sz w:val="22"/>
              </w:rPr>
              <w:t xml:space="preserve">Identified members of staff have </w:t>
            </w:r>
            <w:r w:rsidRPr="005714B9">
              <w:rPr>
                <w:sz w:val="22"/>
              </w:rPr>
              <w:lastRenderedPageBreak/>
              <w:t>responsibility for overseeing key aspects of the promotion of equality, diversity and inclusion within the school, including LGBT+ equality</w:t>
            </w:r>
          </w:p>
          <w:p w14:paraId="5F70381A" w14:textId="02F18637" w:rsidR="00A021F1" w:rsidRPr="005714B9" w:rsidRDefault="00A021F1" w:rsidP="006B0B5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2"/>
              </w:rPr>
            </w:pPr>
            <w:r w:rsidRPr="005714B9">
              <w:rPr>
                <w:sz w:val="22"/>
              </w:rPr>
              <w:t>The whole staff team receives regular training on a wide breadth of equality areas and working groups are in place to ensure that the learning is implemented</w:t>
            </w:r>
          </w:p>
        </w:tc>
        <w:tc>
          <w:tcPr>
            <w:tcW w:w="3969" w:type="dxa"/>
            <w:tcBorders>
              <w:left w:val="single" w:sz="4" w:space="0" w:color="275BA9" w:themeColor="accent1"/>
              <w:right w:val="single" w:sz="4" w:space="0" w:color="275BA9" w:themeColor="accent1"/>
            </w:tcBorders>
          </w:tcPr>
          <w:p w14:paraId="678018C1" w14:textId="6A8E007E" w:rsidR="00E3564B" w:rsidRPr="00801D98" w:rsidRDefault="00E3564B" w:rsidP="00D57BC6">
            <w:pPr>
              <w:pStyle w:val="ListParagraph"/>
              <w:ind w:left="360"/>
              <w:cnfStyle w:val="000000000000" w:firstRow="0" w:lastRow="0" w:firstColumn="0" w:lastColumn="0" w:oddVBand="0" w:evenVBand="0" w:oddHBand="0" w:evenHBand="0" w:firstRowFirstColumn="0" w:firstRowLastColumn="0" w:lastRowFirstColumn="0" w:lastRowLastColumn="0"/>
              <w:rPr>
                <w:sz w:val="22"/>
              </w:rPr>
            </w:pPr>
          </w:p>
        </w:tc>
        <w:tc>
          <w:tcPr>
            <w:tcW w:w="3685" w:type="dxa"/>
            <w:tcBorders>
              <w:left w:val="single" w:sz="4" w:space="0" w:color="275BA9" w:themeColor="accent1"/>
            </w:tcBorders>
          </w:tcPr>
          <w:p w14:paraId="7812702E" w14:textId="1A55D9B7" w:rsidR="00E3564B" w:rsidRPr="00801D98" w:rsidRDefault="00E3564B" w:rsidP="00E3564B">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sz w:val="22"/>
              </w:rPr>
            </w:pPr>
          </w:p>
        </w:tc>
      </w:tr>
      <w:tr w:rsidR="00A021F1" w:rsidRPr="00801D98" w14:paraId="345B481F" w14:textId="76669D01" w:rsidTr="00A02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Borders>
              <w:right w:val="single" w:sz="4" w:space="0" w:color="275BA9" w:themeColor="accent1"/>
            </w:tcBorders>
          </w:tcPr>
          <w:p w14:paraId="3DF82EEA" w14:textId="5EAA2D4B" w:rsidR="00A021F1" w:rsidRPr="00801D98" w:rsidRDefault="00A021F1" w:rsidP="00801D98">
            <w:pPr>
              <w:rPr>
                <w:sz w:val="22"/>
              </w:rPr>
            </w:pPr>
            <w:r w:rsidRPr="00801D98">
              <w:rPr>
                <w:sz w:val="22"/>
              </w:rPr>
              <w:lastRenderedPageBreak/>
              <w:t>2.</w:t>
            </w:r>
            <w:r>
              <w:rPr>
                <w:sz w:val="22"/>
              </w:rPr>
              <w:t>3</w:t>
            </w:r>
            <w:r w:rsidRPr="00801D98">
              <w:rPr>
                <w:sz w:val="22"/>
              </w:rPr>
              <w:t xml:space="preserve"> The school promotes a positive environment in which people from all backgrounds feel valued and included</w:t>
            </w:r>
          </w:p>
          <w:p w14:paraId="247D048F" w14:textId="77777777" w:rsidR="00A021F1" w:rsidRPr="00801D98" w:rsidRDefault="00A021F1" w:rsidP="006B0B50">
            <w:pPr>
              <w:rPr>
                <w:sz w:val="22"/>
              </w:rPr>
            </w:pPr>
          </w:p>
        </w:tc>
        <w:tc>
          <w:tcPr>
            <w:tcW w:w="4961" w:type="dxa"/>
            <w:tcBorders>
              <w:left w:val="single" w:sz="4" w:space="0" w:color="275BA9" w:themeColor="accent1"/>
              <w:right w:val="single" w:sz="4" w:space="0" w:color="275BA9" w:themeColor="accent1"/>
            </w:tcBorders>
          </w:tcPr>
          <w:p w14:paraId="3592EA79" w14:textId="77777777" w:rsidR="00A021F1" w:rsidRPr="005714B9" w:rsidRDefault="00A021F1" w:rsidP="00801D98">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2"/>
              </w:rPr>
            </w:pPr>
            <w:r w:rsidRPr="005714B9">
              <w:rPr>
                <w:sz w:val="22"/>
              </w:rPr>
              <w:t>The school conducts feedback questionnaires with staff, pupils and parents/carers, which ask about their feelings of being valued and included and results are positive</w:t>
            </w:r>
          </w:p>
          <w:p w14:paraId="6039EB70" w14:textId="1B7DFF18" w:rsidR="00A021F1" w:rsidRPr="005714B9" w:rsidRDefault="00A021F1" w:rsidP="00801D98">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2"/>
              </w:rPr>
            </w:pPr>
            <w:r w:rsidRPr="005714B9">
              <w:rPr>
                <w:sz w:val="22"/>
              </w:rPr>
              <w:t>Pupils from LGBT+ backgrounds see themselves reflected in the wall displays, website and external communications</w:t>
            </w:r>
          </w:p>
          <w:p w14:paraId="290A0C78" w14:textId="1F00C4D5" w:rsidR="00A021F1" w:rsidRPr="005714B9" w:rsidRDefault="00A021F1" w:rsidP="00801D98">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b/>
                <w:sz w:val="22"/>
              </w:rPr>
            </w:pPr>
            <w:r w:rsidRPr="005714B9">
              <w:rPr>
                <w:sz w:val="22"/>
              </w:rPr>
              <w:t>National events which are important to young people in the school are celebrated e.g. LGBT History Month</w:t>
            </w:r>
          </w:p>
          <w:p w14:paraId="018D16D6" w14:textId="77777777" w:rsidR="00A021F1" w:rsidRPr="005714B9" w:rsidRDefault="00A021F1" w:rsidP="00801D98">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2"/>
              </w:rPr>
            </w:pPr>
            <w:r w:rsidRPr="005714B9">
              <w:rPr>
                <w:sz w:val="22"/>
              </w:rPr>
              <w:t>The school acts on any negative responses arising from feedback questionnaires with staff, pupils and parents and carers with regards to feelings of exclusion</w:t>
            </w:r>
          </w:p>
          <w:p w14:paraId="1CB1CEE9" w14:textId="4097910A" w:rsidR="00A021F1" w:rsidRPr="005714B9" w:rsidRDefault="00A021F1" w:rsidP="00801D98">
            <w:pPr>
              <w:pStyle w:val="ListParagraph"/>
              <w:numPr>
                <w:ilvl w:val="0"/>
                <w:numId w:val="22"/>
              </w:numPr>
              <w:ind w:left="360"/>
              <w:cnfStyle w:val="000000100000" w:firstRow="0" w:lastRow="0" w:firstColumn="0" w:lastColumn="0" w:oddVBand="0" w:evenVBand="0" w:oddHBand="1" w:evenHBand="0" w:firstRowFirstColumn="0" w:firstRowLastColumn="0" w:lastRowFirstColumn="0" w:lastRowLastColumn="0"/>
              <w:rPr>
                <w:sz w:val="22"/>
              </w:rPr>
            </w:pPr>
            <w:r w:rsidRPr="005714B9">
              <w:rPr>
                <w:sz w:val="22"/>
              </w:rPr>
              <w:t xml:space="preserve">The voices of pupils are heard, and pupils are actively involved in decision-making. </w:t>
            </w:r>
          </w:p>
          <w:p w14:paraId="6C5B78D7" w14:textId="11A3F5FE" w:rsidR="00A021F1" w:rsidRPr="005714B9" w:rsidRDefault="00A021F1" w:rsidP="00801D98">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b/>
                <w:sz w:val="22"/>
              </w:rPr>
            </w:pPr>
            <w:r w:rsidRPr="005714B9">
              <w:rPr>
                <w:sz w:val="22"/>
              </w:rPr>
              <w:t>The physical environment of the school is inclusive of people of transgender pupils and staff</w:t>
            </w:r>
          </w:p>
          <w:p w14:paraId="6B24A35C" w14:textId="4B435EB7" w:rsidR="00A021F1" w:rsidRPr="005714B9" w:rsidRDefault="00A021F1" w:rsidP="00034B2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2"/>
              </w:rPr>
            </w:pPr>
            <w:r w:rsidRPr="005714B9">
              <w:rPr>
                <w:sz w:val="22"/>
              </w:rPr>
              <w:t xml:space="preserve">The school has an inclusive uniform policy, which takes into account transgender </w:t>
            </w:r>
            <w:r w:rsidRPr="005714B9">
              <w:rPr>
                <w:sz w:val="22"/>
              </w:rPr>
              <w:lastRenderedPageBreak/>
              <w:t>pupils</w:t>
            </w:r>
          </w:p>
        </w:tc>
        <w:tc>
          <w:tcPr>
            <w:tcW w:w="3969" w:type="dxa"/>
            <w:tcBorders>
              <w:left w:val="single" w:sz="4" w:space="0" w:color="275BA9" w:themeColor="accent1"/>
              <w:right w:val="single" w:sz="4" w:space="0" w:color="275BA9" w:themeColor="accent1"/>
            </w:tcBorders>
          </w:tcPr>
          <w:p w14:paraId="6EF4511D" w14:textId="64B5D8C2" w:rsidR="00A021F1" w:rsidRPr="00801D98" w:rsidRDefault="00A021F1" w:rsidP="00DC0FBD">
            <w:pPr>
              <w:pStyle w:val="ListParagraph"/>
              <w:ind w:left="360"/>
              <w:cnfStyle w:val="000000100000" w:firstRow="0" w:lastRow="0" w:firstColumn="0" w:lastColumn="0" w:oddVBand="0" w:evenVBand="0" w:oddHBand="1" w:evenHBand="0" w:firstRowFirstColumn="0" w:firstRowLastColumn="0" w:lastRowFirstColumn="0" w:lastRowLastColumn="0"/>
              <w:rPr>
                <w:sz w:val="22"/>
              </w:rPr>
            </w:pPr>
          </w:p>
        </w:tc>
        <w:tc>
          <w:tcPr>
            <w:tcW w:w="3685" w:type="dxa"/>
            <w:tcBorders>
              <w:left w:val="single" w:sz="4" w:space="0" w:color="275BA9" w:themeColor="accent1"/>
            </w:tcBorders>
          </w:tcPr>
          <w:p w14:paraId="59A218C9" w14:textId="17C4F295" w:rsidR="00E3564B" w:rsidRPr="00801D98" w:rsidRDefault="00E3564B" w:rsidP="00DC0FBD">
            <w:pPr>
              <w:pStyle w:val="ListParagraph"/>
              <w:ind w:left="360"/>
              <w:cnfStyle w:val="000000100000" w:firstRow="0" w:lastRow="0" w:firstColumn="0" w:lastColumn="0" w:oddVBand="0" w:evenVBand="0" w:oddHBand="1" w:evenHBand="0" w:firstRowFirstColumn="0" w:firstRowLastColumn="0" w:lastRowFirstColumn="0" w:lastRowLastColumn="0"/>
              <w:rPr>
                <w:sz w:val="22"/>
              </w:rPr>
            </w:pPr>
          </w:p>
        </w:tc>
      </w:tr>
      <w:tr w:rsidR="00A021F1" w:rsidRPr="00801D98" w14:paraId="7291639B" w14:textId="3A9DC6BD" w:rsidTr="00A021F1">
        <w:tc>
          <w:tcPr>
            <w:cnfStyle w:val="001000000000" w:firstRow="0" w:lastRow="0" w:firstColumn="1" w:lastColumn="0" w:oddVBand="0" w:evenVBand="0" w:oddHBand="0" w:evenHBand="0" w:firstRowFirstColumn="0" w:firstRowLastColumn="0" w:lastRowFirstColumn="0" w:lastRowLastColumn="0"/>
            <w:tcW w:w="1986" w:type="dxa"/>
            <w:tcBorders>
              <w:right w:val="single" w:sz="4" w:space="0" w:color="275BA9" w:themeColor="accent1"/>
            </w:tcBorders>
          </w:tcPr>
          <w:p w14:paraId="29918D6A" w14:textId="28B81728" w:rsidR="00A021F1" w:rsidRPr="00801D98" w:rsidRDefault="00A021F1" w:rsidP="006B0B50">
            <w:pPr>
              <w:rPr>
                <w:sz w:val="22"/>
              </w:rPr>
            </w:pPr>
            <w:r w:rsidRPr="00801D98">
              <w:rPr>
                <w:sz w:val="22"/>
              </w:rPr>
              <w:t>2.</w:t>
            </w:r>
            <w:r>
              <w:rPr>
                <w:sz w:val="22"/>
              </w:rPr>
              <w:t>4</w:t>
            </w:r>
            <w:r w:rsidRPr="00801D98">
              <w:rPr>
                <w:sz w:val="22"/>
              </w:rPr>
              <w:t xml:space="preserve"> The school listens to and conducts meaningful consultation with parents/carers, pupils and staff to identify </w:t>
            </w:r>
            <w:r>
              <w:rPr>
                <w:sz w:val="22"/>
              </w:rPr>
              <w:t xml:space="preserve">LGBT+ </w:t>
            </w:r>
            <w:r w:rsidRPr="00801D98">
              <w:rPr>
                <w:sz w:val="22"/>
              </w:rPr>
              <w:t>equality issues and barriers to inclusion</w:t>
            </w:r>
          </w:p>
        </w:tc>
        <w:tc>
          <w:tcPr>
            <w:tcW w:w="4961" w:type="dxa"/>
            <w:tcBorders>
              <w:left w:val="single" w:sz="4" w:space="0" w:color="275BA9" w:themeColor="accent1"/>
              <w:right w:val="single" w:sz="4" w:space="0" w:color="275BA9" w:themeColor="accent1"/>
            </w:tcBorders>
          </w:tcPr>
          <w:p w14:paraId="4AE0E7D4" w14:textId="21EB8775" w:rsidR="00A021F1" w:rsidRPr="005714B9" w:rsidRDefault="00A021F1" w:rsidP="00801D9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22"/>
              </w:rPr>
            </w:pPr>
            <w:r w:rsidRPr="005714B9">
              <w:rPr>
                <w:sz w:val="22"/>
              </w:rPr>
              <w:t>The school consults with staff, pupils and parents/carers, with specific mention of LGBT+ equality issues</w:t>
            </w:r>
          </w:p>
          <w:p w14:paraId="312A8B94" w14:textId="2F593C40" w:rsidR="00A021F1" w:rsidRPr="005714B9" w:rsidRDefault="00A021F1" w:rsidP="00801D9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22"/>
              </w:rPr>
            </w:pPr>
            <w:r w:rsidRPr="005714B9">
              <w:rPr>
                <w:sz w:val="22"/>
              </w:rPr>
              <w:t xml:space="preserve">Action plans are put in place to overcome the barriers and issues which arise from the pupil/staff/parent and carer consultations </w:t>
            </w:r>
          </w:p>
          <w:p w14:paraId="48398541" w14:textId="77777777" w:rsidR="00A021F1" w:rsidRPr="005714B9" w:rsidRDefault="00A021F1" w:rsidP="00801D9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22"/>
              </w:rPr>
            </w:pPr>
            <w:r w:rsidRPr="005714B9">
              <w:rPr>
                <w:sz w:val="22"/>
              </w:rPr>
              <w:t>Parents and carers involve themselves in many aspects of the life of the school</w:t>
            </w:r>
          </w:p>
          <w:p w14:paraId="4FEAEF47" w14:textId="6CC39DC4" w:rsidR="00A021F1" w:rsidRPr="005714B9" w:rsidRDefault="00A021F1" w:rsidP="00034B2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22"/>
              </w:rPr>
            </w:pPr>
            <w:r w:rsidRPr="005714B9">
              <w:rPr>
                <w:sz w:val="22"/>
              </w:rPr>
              <w:t>Communications take into account language, literacy levels, lack of access to computers, cultural differences</w:t>
            </w:r>
          </w:p>
        </w:tc>
        <w:tc>
          <w:tcPr>
            <w:tcW w:w="3969" w:type="dxa"/>
            <w:tcBorders>
              <w:left w:val="single" w:sz="4" w:space="0" w:color="275BA9" w:themeColor="accent1"/>
              <w:right w:val="single" w:sz="4" w:space="0" w:color="275BA9" w:themeColor="accent1"/>
            </w:tcBorders>
          </w:tcPr>
          <w:p w14:paraId="6E214CAF" w14:textId="3029AB9D" w:rsidR="00A021F1" w:rsidRPr="00801D98" w:rsidRDefault="00A021F1" w:rsidP="00DC0FBD">
            <w:pPr>
              <w:pStyle w:val="ListParagraph"/>
              <w:ind w:left="360"/>
              <w:cnfStyle w:val="000000000000" w:firstRow="0" w:lastRow="0" w:firstColumn="0" w:lastColumn="0" w:oddVBand="0" w:evenVBand="0" w:oddHBand="0" w:evenHBand="0" w:firstRowFirstColumn="0" w:firstRowLastColumn="0" w:lastRowFirstColumn="0" w:lastRowLastColumn="0"/>
              <w:rPr>
                <w:sz w:val="22"/>
              </w:rPr>
            </w:pPr>
          </w:p>
        </w:tc>
        <w:tc>
          <w:tcPr>
            <w:tcW w:w="3685" w:type="dxa"/>
            <w:tcBorders>
              <w:left w:val="single" w:sz="4" w:space="0" w:color="275BA9" w:themeColor="accent1"/>
            </w:tcBorders>
          </w:tcPr>
          <w:p w14:paraId="51DE13D4" w14:textId="2F497567" w:rsidR="007D3687" w:rsidRPr="00801D98" w:rsidRDefault="007D3687" w:rsidP="00DC0FBD">
            <w:pPr>
              <w:pStyle w:val="ListParagraph"/>
              <w:ind w:left="360"/>
              <w:cnfStyle w:val="000000000000" w:firstRow="0" w:lastRow="0" w:firstColumn="0" w:lastColumn="0" w:oddVBand="0" w:evenVBand="0" w:oddHBand="0" w:evenHBand="0" w:firstRowFirstColumn="0" w:firstRowLastColumn="0" w:lastRowFirstColumn="0" w:lastRowLastColumn="0"/>
              <w:rPr>
                <w:sz w:val="22"/>
              </w:rPr>
            </w:pPr>
          </w:p>
        </w:tc>
      </w:tr>
      <w:tr w:rsidR="00A021F1" w:rsidRPr="00801D98" w14:paraId="0C1F2678" w14:textId="4FAB9DAE" w:rsidTr="00A02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Borders>
              <w:right w:val="single" w:sz="4" w:space="0" w:color="275BA9" w:themeColor="accent1"/>
            </w:tcBorders>
          </w:tcPr>
          <w:p w14:paraId="06472409" w14:textId="306328CA" w:rsidR="00A021F1" w:rsidRPr="00801D98" w:rsidRDefault="00A021F1" w:rsidP="006B0B50">
            <w:pPr>
              <w:rPr>
                <w:sz w:val="22"/>
              </w:rPr>
            </w:pPr>
            <w:r w:rsidRPr="00801D98">
              <w:rPr>
                <w:sz w:val="22"/>
              </w:rPr>
              <w:t>2.</w:t>
            </w:r>
            <w:r>
              <w:rPr>
                <w:sz w:val="22"/>
              </w:rPr>
              <w:t>5</w:t>
            </w:r>
            <w:r w:rsidRPr="00801D98">
              <w:rPr>
                <w:sz w:val="22"/>
              </w:rPr>
              <w:t xml:space="preserve"> The school assesses the impact of policies and measures on equalities, with regards to current and prospective pupils and parents/carers</w:t>
            </w:r>
          </w:p>
        </w:tc>
        <w:tc>
          <w:tcPr>
            <w:tcW w:w="4961" w:type="dxa"/>
            <w:tcBorders>
              <w:left w:val="single" w:sz="4" w:space="0" w:color="275BA9" w:themeColor="accent1"/>
              <w:right w:val="single" w:sz="4" w:space="0" w:color="275BA9" w:themeColor="accent1"/>
            </w:tcBorders>
          </w:tcPr>
          <w:p w14:paraId="254F772B" w14:textId="1634D6B8" w:rsidR="00A021F1" w:rsidRPr="005714B9" w:rsidRDefault="00A021F1" w:rsidP="00801D98">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sz w:val="22"/>
              </w:rPr>
            </w:pPr>
            <w:r w:rsidRPr="005714B9">
              <w:rPr>
                <w:sz w:val="22"/>
              </w:rPr>
              <w:t>Before introducing important new policies or measures, the school carefully assesses their potential impact on LGBT+ equality, its current and prospective pupils and parents, and keeps a record of the analysis and judgements which it makes</w:t>
            </w:r>
          </w:p>
          <w:p w14:paraId="723E29F5" w14:textId="1FE71D06" w:rsidR="00A021F1" w:rsidRPr="005714B9" w:rsidRDefault="00A021F1" w:rsidP="006B0B50">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sz w:val="22"/>
              </w:rPr>
            </w:pPr>
            <w:r w:rsidRPr="005714B9">
              <w:rPr>
                <w:sz w:val="22"/>
              </w:rPr>
              <w:t>The school involves parents/carers and pupils in its assessment of policies impact on LGBT+ equality</w:t>
            </w:r>
          </w:p>
        </w:tc>
        <w:tc>
          <w:tcPr>
            <w:tcW w:w="3969" w:type="dxa"/>
            <w:tcBorders>
              <w:left w:val="single" w:sz="4" w:space="0" w:color="275BA9" w:themeColor="accent1"/>
              <w:right w:val="single" w:sz="4" w:space="0" w:color="275BA9" w:themeColor="accent1"/>
            </w:tcBorders>
          </w:tcPr>
          <w:p w14:paraId="0949C5D6" w14:textId="03B5E76B" w:rsidR="00E46538" w:rsidRPr="00801D98" w:rsidRDefault="00E46538" w:rsidP="006B0B50">
            <w:pPr>
              <w:cnfStyle w:val="000000100000" w:firstRow="0" w:lastRow="0" w:firstColumn="0" w:lastColumn="0" w:oddVBand="0" w:evenVBand="0" w:oddHBand="1" w:evenHBand="0" w:firstRowFirstColumn="0" w:firstRowLastColumn="0" w:lastRowFirstColumn="0" w:lastRowLastColumn="0"/>
              <w:rPr>
                <w:sz w:val="22"/>
              </w:rPr>
            </w:pPr>
          </w:p>
        </w:tc>
        <w:tc>
          <w:tcPr>
            <w:tcW w:w="3685" w:type="dxa"/>
            <w:tcBorders>
              <w:left w:val="single" w:sz="4" w:space="0" w:color="275BA9" w:themeColor="accent1"/>
            </w:tcBorders>
          </w:tcPr>
          <w:p w14:paraId="05CD0B1C" w14:textId="49A96C8B" w:rsidR="00A021F1" w:rsidRPr="00801D98" w:rsidRDefault="00A021F1" w:rsidP="006B0B50">
            <w:pPr>
              <w:cnfStyle w:val="000000100000" w:firstRow="0" w:lastRow="0" w:firstColumn="0" w:lastColumn="0" w:oddVBand="0" w:evenVBand="0" w:oddHBand="1" w:evenHBand="0" w:firstRowFirstColumn="0" w:firstRowLastColumn="0" w:lastRowFirstColumn="0" w:lastRowLastColumn="0"/>
              <w:rPr>
                <w:sz w:val="22"/>
              </w:rPr>
            </w:pPr>
          </w:p>
        </w:tc>
      </w:tr>
    </w:tbl>
    <w:p w14:paraId="3BB995CB" w14:textId="77777777" w:rsidR="00D57BC6" w:rsidRDefault="00D57BC6" w:rsidP="006B0B50">
      <w:pPr>
        <w:pStyle w:val="Heading1"/>
        <w:spacing w:before="0"/>
        <w:rPr>
          <w:color w:val="6E3A97" w:themeColor="accent3"/>
        </w:rPr>
      </w:pPr>
    </w:p>
    <w:p w14:paraId="2F1AB9BF" w14:textId="59B46BC1" w:rsidR="00D57BC6" w:rsidRPr="00D57BC6" w:rsidRDefault="006B0B50" w:rsidP="00D57BC6">
      <w:pPr>
        <w:pStyle w:val="Heading1"/>
        <w:spacing w:before="0"/>
        <w:rPr>
          <w:color w:val="6E3A97" w:themeColor="accent3"/>
        </w:rPr>
      </w:pPr>
      <w:r w:rsidRPr="006B0B50">
        <w:rPr>
          <w:color w:val="6E3A97" w:themeColor="accent3"/>
        </w:rPr>
        <w:t>Personal Development of Pupils</w:t>
      </w:r>
    </w:p>
    <w:tbl>
      <w:tblPr>
        <w:tblStyle w:val="ListTable3-Accent31"/>
        <w:tblW w:w="14601" w:type="dxa"/>
        <w:tblInd w:w="-431" w:type="dxa"/>
        <w:tblLook w:val="04A0" w:firstRow="1" w:lastRow="0" w:firstColumn="1" w:lastColumn="0" w:noHBand="0" w:noVBand="1"/>
      </w:tblPr>
      <w:tblGrid>
        <w:gridCol w:w="1986"/>
        <w:gridCol w:w="4961"/>
        <w:gridCol w:w="3969"/>
        <w:gridCol w:w="3685"/>
      </w:tblGrid>
      <w:tr w:rsidR="00A021F1" w:rsidRPr="00DA139B" w14:paraId="7763E94B" w14:textId="0A5CD7D8" w:rsidTr="00A021F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6" w:type="dxa"/>
            <w:tcBorders>
              <w:right w:val="single" w:sz="4" w:space="0" w:color="6E3A97" w:themeColor="accent3"/>
            </w:tcBorders>
          </w:tcPr>
          <w:p w14:paraId="7864821E" w14:textId="65D5F380" w:rsidR="00A021F1" w:rsidRPr="00DA139B" w:rsidRDefault="00A021F1" w:rsidP="006B0B50">
            <w:pPr>
              <w:rPr>
                <w:sz w:val="22"/>
              </w:rPr>
            </w:pPr>
            <w:r w:rsidRPr="00DA139B">
              <w:rPr>
                <w:sz w:val="22"/>
              </w:rPr>
              <w:lastRenderedPageBreak/>
              <w:t>Indicator</w:t>
            </w:r>
          </w:p>
        </w:tc>
        <w:tc>
          <w:tcPr>
            <w:tcW w:w="4961" w:type="dxa"/>
            <w:tcBorders>
              <w:left w:val="single" w:sz="4" w:space="0" w:color="6E3A97" w:themeColor="accent3"/>
              <w:right w:val="single" w:sz="4" w:space="0" w:color="6E3A97" w:themeColor="accent3"/>
            </w:tcBorders>
          </w:tcPr>
          <w:p w14:paraId="42E0A698" w14:textId="5D79F9CD" w:rsidR="00A021F1" w:rsidRPr="00DA139B" w:rsidRDefault="00A021F1" w:rsidP="006B0B50">
            <w:pPr>
              <w:cnfStyle w:val="100000000000" w:firstRow="1" w:lastRow="0" w:firstColumn="0" w:lastColumn="0" w:oddVBand="0" w:evenVBand="0" w:oddHBand="0" w:evenHBand="0" w:firstRowFirstColumn="0" w:firstRowLastColumn="0" w:lastRowFirstColumn="0" w:lastRowLastColumn="0"/>
              <w:rPr>
                <w:sz w:val="22"/>
              </w:rPr>
            </w:pPr>
            <w:r w:rsidRPr="00DA139B">
              <w:rPr>
                <w:sz w:val="22"/>
              </w:rPr>
              <w:t>Benchmarks</w:t>
            </w:r>
          </w:p>
        </w:tc>
        <w:tc>
          <w:tcPr>
            <w:tcW w:w="3969" w:type="dxa"/>
            <w:tcBorders>
              <w:left w:val="single" w:sz="4" w:space="0" w:color="6E3A97" w:themeColor="accent3"/>
              <w:right w:val="single" w:sz="4" w:space="0" w:color="6E3A97" w:themeColor="accent3"/>
            </w:tcBorders>
          </w:tcPr>
          <w:p w14:paraId="4C409A21" w14:textId="43351836" w:rsidR="00A021F1" w:rsidRPr="00DA139B" w:rsidRDefault="00A021F1" w:rsidP="006B0B50">
            <w:pPr>
              <w:cnfStyle w:val="100000000000" w:firstRow="1" w:lastRow="0" w:firstColumn="0" w:lastColumn="0" w:oddVBand="0" w:evenVBand="0" w:oddHBand="0" w:evenHBand="0" w:firstRowFirstColumn="0" w:firstRowLastColumn="0" w:lastRowFirstColumn="0" w:lastRowLastColumn="0"/>
              <w:rPr>
                <w:sz w:val="22"/>
              </w:rPr>
            </w:pPr>
            <w:r>
              <w:rPr>
                <w:sz w:val="22"/>
              </w:rPr>
              <w:t>Current Practice</w:t>
            </w:r>
          </w:p>
        </w:tc>
        <w:tc>
          <w:tcPr>
            <w:tcW w:w="3685" w:type="dxa"/>
            <w:tcBorders>
              <w:left w:val="single" w:sz="4" w:space="0" w:color="6E3A97" w:themeColor="accent3"/>
            </w:tcBorders>
          </w:tcPr>
          <w:p w14:paraId="26D1260E" w14:textId="6AFF1ABB" w:rsidR="00A021F1" w:rsidRPr="00DA139B" w:rsidRDefault="00A021F1" w:rsidP="006B0B50">
            <w:pPr>
              <w:cnfStyle w:val="100000000000" w:firstRow="1" w:lastRow="0" w:firstColumn="0" w:lastColumn="0" w:oddVBand="0" w:evenVBand="0" w:oddHBand="0" w:evenHBand="0" w:firstRowFirstColumn="0" w:firstRowLastColumn="0" w:lastRowFirstColumn="0" w:lastRowLastColumn="0"/>
              <w:rPr>
                <w:sz w:val="22"/>
              </w:rPr>
            </w:pPr>
            <w:r>
              <w:rPr>
                <w:sz w:val="22"/>
              </w:rPr>
              <w:t>How to Improve</w:t>
            </w:r>
          </w:p>
        </w:tc>
      </w:tr>
      <w:tr w:rsidR="00A021F1" w:rsidRPr="00DA139B" w14:paraId="59ED3F86" w14:textId="40AD9D7C" w:rsidTr="00A02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Borders>
              <w:right w:val="single" w:sz="4" w:space="0" w:color="6E3A97" w:themeColor="accent3"/>
            </w:tcBorders>
          </w:tcPr>
          <w:p w14:paraId="4EF9C706" w14:textId="6817C209" w:rsidR="00A021F1" w:rsidRPr="00DA139B" w:rsidRDefault="00A021F1" w:rsidP="00034B22">
            <w:pPr>
              <w:rPr>
                <w:sz w:val="22"/>
              </w:rPr>
            </w:pPr>
            <w:r w:rsidRPr="00DA139B">
              <w:rPr>
                <w:sz w:val="22"/>
              </w:rPr>
              <w:t xml:space="preserve">3.1 Young people have the opportunity to explore concepts of </w:t>
            </w:r>
            <w:r>
              <w:rPr>
                <w:sz w:val="22"/>
              </w:rPr>
              <w:t>homophobia, biphobia and transphobia (HBT) and understand the harms of HBT bullying</w:t>
            </w:r>
          </w:p>
        </w:tc>
        <w:tc>
          <w:tcPr>
            <w:tcW w:w="4961" w:type="dxa"/>
            <w:tcBorders>
              <w:left w:val="single" w:sz="4" w:space="0" w:color="6E3A97" w:themeColor="accent3"/>
              <w:right w:val="single" w:sz="4" w:space="0" w:color="6E3A97" w:themeColor="accent3"/>
            </w:tcBorders>
          </w:tcPr>
          <w:p w14:paraId="3B11742C" w14:textId="26EAFEFF" w:rsidR="00A021F1" w:rsidRPr="005714B9" w:rsidRDefault="00A021F1" w:rsidP="00DA139B">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Open Sans" w:hAnsi="Open Sans" w:cs="Open Sans"/>
                <w:sz w:val="22"/>
              </w:rPr>
            </w:pPr>
            <w:r w:rsidRPr="005714B9">
              <w:rPr>
                <w:rFonts w:ascii="Open Sans" w:hAnsi="Open Sans" w:cs="Open Sans"/>
                <w:sz w:val="22"/>
              </w:rPr>
              <w:t xml:space="preserve">The school celebrates national and international events linked to issues of equality, such as Anti-bullying Week and LGBT History Month, </w:t>
            </w:r>
          </w:p>
          <w:p w14:paraId="27A29B72" w14:textId="3BE64E97" w:rsidR="00A021F1" w:rsidRPr="005714B9" w:rsidRDefault="00A021F1" w:rsidP="00DA139B">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Open Sans" w:hAnsi="Open Sans" w:cs="Open Sans"/>
                <w:sz w:val="22"/>
              </w:rPr>
            </w:pPr>
            <w:r w:rsidRPr="005714B9">
              <w:rPr>
                <w:rFonts w:ascii="Open Sans" w:hAnsi="Open Sans" w:cs="Open Sans"/>
                <w:sz w:val="22"/>
              </w:rPr>
              <w:t>Pupils have access to books and resources which explore HBT bullying</w:t>
            </w:r>
          </w:p>
          <w:p w14:paraId="243227A0" w14:textId="27B89846" w:rsidR="00A021F1" w:rsidRPr="005714B9" w:rsidRDefault="00A021F1" w:rsidP="00DA139B">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Open Sans" w:hAnsi="Open Sans" w:cs="Open Sans"/>
                <w:sz w:val="22"/>
              </w:rPr>
            </w:pPr>
            <w:r w:rsidRPr="005714B9">
              <w:rPr>
                <w:rFonts w:ascii="Open Sans" w:hAnsi="Open Sans" w:cs="Open Sans"/>
                <w:sz w:val="22"/>
              </w:rPr>
              <w:t>Assemblies and lessons on topics on HBT bullying are delivered</w:t>
            </w:r>
          </w:p>
          <w:p w14:paraId="43579DA2" w14:textId="77777777" w:rsidR="00A021F1" w:rsidRPr="005714B9" w:rsidRDefault="00A021F1" w:rsidP="00DA139B">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Open Sans" w:hAnsi="Open Sans" w:cs="Open Sans"/>
                <w:sz w:val="22"/>
              </w:rPr>
            </w:pPr>
            <w:r w:rsidRPr="005714B9">
              <w:rPr>
                <w:rFonts w:ascii="Open Sans" w:hAnsi="Open Sans" w:cs="Open Sans"/>
                <w:sz w:val="22"/>
              </w:rPr>
              <w:t>Topics are explored through workshops led by external visitors</w:t>
            </w:r>
          </w:p>
          <w:p w14:paraId="1347377B" w14:textId="2BBD0C6D" w:rsidR="00A021F1" w:rsidRPr="005714B9" w:rsidRDefault="00A021F1" w:rsidP="00DA139B">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Open Sans" w:hAnsi="Open Sans" w:cs="Open Sans"/>
                <w:sz w:val="22"/>
              </w:rPr>
            </w:pPr>
            <w:r w:rsidRPr="005714B9">
              <w:rPr>
                <w:rFonts w:ascii="Open Sans" w:hAnsi="Open Sans" w:cs="Open Sans"/>
                <w:sz w:val="22"/>
              </w:rPr>
              <w:t>Concepts of HBT bullying are embedded into the school’s SMSC development and PSHE programmes</w:t>
            </w:r>
          </w:p>
          <w:p w14:paraId="5F5516DB" w14:textId="541D2D92" w:rsidR="00A021F1" w:rsidRPr="005714B9" w:rsidRDefault="00A021F1" w:rsidP="006B0B50">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Open Sans" w:hAnsi="Open Sans" w:cs="Open Sans"/>
                <w:sz w:val="22"/>
              </w:rPr>
            </w:pPr>
            <w:r w:rsidRPr="005714B9">
              <w:rPr>
                <w:rFonts w:ascii="Open Sans" w:hAnsi="Open Sans" w:cs="Open Sans"/>
                <w:sz w:val="22"/>
              </w:rPr>
              <w:t>Young people are able to articulate the harms of HBT bullying</w:t>
            </w:r>
          </w:p>
        </w:tc>
        <w:tc>
          <w:tcPr>
            <w:tcW w:w="3969" w:type="dxa"/>
            <w:tcBorders>
              <w:left w:val="single" w:sz="4" w:space="0" w:color="6E3A97" w:themeColor="accent3"/>
              <w:right w:val="single" w:sz="4" w:space="0" w:color="6E3A97" w:themeColor="accent3"/>
            </w:tcBorders>
          </w:tcPr>
          <w:p w14:paraId="0A52E9A6" w14:textId="451AE6A9" w:rsidR="007E7B6D" w:rsidRPr="00DA139B" w:rsidRDefault="007E7B6D" w:rsidP="00DC0FBD">
            <w:pPr>
              <w:pStyle w:val="ListParagraph"/>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z w:val="22"/>
              </w:rPr>
            </w:pPr>
          </w:p>
        </w:tc>
        <w:tc>
          <w:tcPr>
            <w:tcW w:w="3685" w:type="dxa"/>
            <w:tcBorders>
              <w:left w:val="single" w:sz="4" w:space="0" w:color="6E3A97" w:themeColor="accent3"/>
            </w:tcBorders>
          </w:tcPr>
          <w:p w14:paraId="5F7F72F0" w14:textId="747B9BF4" w:rsidR="007E7B6D" w:rsidRPr="00DA139B" w:rsidRDefault="007E7B6D" w:rsidP="00DC0FBD">
            <w:pPr>
              <w:pStyle w:val="ListParagraph"/>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z w:val="22"/>
              </w:rPr>
            </w:pPr>
          </w:p>
        </w:tc>
      </w:tr>
      <w:tr w:rsidR="00A021F1" w:rsidRPr="00DA139B" w14:paraId="2936CEE3" w14:textId="376959AC" w:rsidTr="00A021F1">
        <w:tc>
          <w:tcPr>
            <w:cnfStyle w:val="001000000000" w:firstRow="0" w:lastRow="0" w:firstColumn="1" w:lastColumn="0" w:oddVBand="0" w:evenVBand="0" w:oddHBand="0" w:evenHBand="0" w:firstRowFirstColumn="0" w:firstRowLastColumn="0" w:lastRowFirstColumn="0" w:lastRowLastColumn="0"/>
            <w:tcW w:w="1986" w:type="dxa"/>
            <w:tcBorders>
              <w:right w:val="single" w:sz="4" w:space="0" w:color="6E3A97" w:themeColor="accent3"/>
            </w:tcBorders>
          </w:tcPr>
          <w:p w14:paraId="15C1BE24" w14:textId="0BC47282" w:rsidR="00A021F1" w:rsidRPr="00DA139B" w:rsidRDefault="00A021F1" w:rsidP="006B0B50">
            <w:pPr>
              <w:rPr>
                <w:sz w:val="22"/>
              </w:rPr>
            </w:pPr>
            <w:r w:rsidRPr="00DA139B">
              <w:rPr>
                <w:sz w:val="22"/>
              </w:rPr>
              <w:t>3.</w:t>
            </w:r>
            <w:r>
              <w:rPr>
                <w:sz w:val="22"/>
              </w:rPr>
              <w:t>2</w:t>
            </w:r>
            <w:r w:rsidRPr="00DA139B">
              <w:rPr>
                <w:sz w:val="22"/>
              </w:rPr>
              <w:t xml:space="preserve"> Pupils are encouraged to develop an awareness of and pride in their own identities as well as empathy and insight into the lives of experiences of people from </w:t>
            </w:r>
            <w:r w:rsidRPr="00DA139B">
              <w:rPr>
                <w:sz w:val="22"/>
              </w:rPr>
              <w:lastRenderedPageBreak/>
              <w:t>different backgrounds</w:t>
            </w:r>
          </w:p>
        </w:tc>
        <w:tc>
          <w:tcPr>
            <w:tcW w:w="4961" w:type="dxa"/>
            <w:tcBorders>
              <w:left w:val="single" w:sz="4" w:space="0" w:color="6E3A97" w:themeColor="accent3"/>
              <w:right w:val="single" w:sz="4" w:space="0" w:color="6E3A97" w:themeColor="accent3"/>
            </w:tcBorders>
          </w:tcPr>
          <w:p w14:paraId="6647C303" w14:textId="77777777" w:rsidR="00A021F1" w:rsidRPr="005714B9" w:rsidRDefault="00A021F1" w:rsidP="00DA139B">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Open Sans" w:hAnsi="Open Sans" w:cs="Open Sans"/>
                <w:sz w:val="22"/>
              </w:rPr>
            </w:pPr>
            <w:r w:rsidRPr="005714B9">
              <w:rPr>
                <w:rFonts w:ascii="Open Sans" w:hAnsi="Open Sans" w:cs="Open Sans"/>
                <w:sz w:val="22"/>
              </w:rPr>
              <w:lastRenderedPageBreak/>
              <w:t xml:space="preserve">Opportunities to explore identity are embedded into the school’s SMSC provision and PSHE programme. </w:t>
            </w:r>
          </w:p>
          <w:p w14:paraId="6A112ABF" w14:textId="1E918480" w:rsidR="00A021F1" w:rsidRPr="005714B9" w:rsidRDefault="00A021F1" w:rsidP="00DA139B">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22"/>
              </w:rPr>
            </w:pPr>
            <w:r w:rsidRPr="005714B9">
              <w:rPr>
                <w:rFonts w:ascii="Open Sans" w:hAnsi="Open Sans" w:cs="Open Sans"/>
                <w:sz w:val="22"/>
              </w:rPr>
              <w:t>Pupils exhibit pride in their own identities and empathy and insight into the lives of experiences of people from different backgrounds.</w:t>
            </w:r>
          </w:p>
          <w:p w14:paraId="44A8266C" w14:textId="77777777" w:rsidR="00A021F1" w:rsidRPr="005714B9" w:rsidRDefault="00A021F1" w:rsidP="006B0B50">
            <w:pPr>
              <w:cnfStyle w:val="000000000000" w:firstRow="0" w:lastRow="0" w:firstColumn="0" w:lastColumn="0" w:oddVBand="0" w:evenVBand="0" w:oddHBand="0" w:evenHBand="0" w:firstRowFirstColumn="0" w:firstRowLastColumn="0" w:lastRowFirstColumn="0" w:lastRowLastColumn="0"/>
              <w:rPr>
                <w:sz w:val="22"/>
              </w:rPr>
            </w:pPr>
          </w:p>
        </w:tc>
        <w:tc>
          <w:tcPr>
            <w:tcW w:w="3969" w:type="dxa"/>
            <w:tcBorders>
              <w:left w:val="single" w:sz="4" w:space="0" w:color="6E3A97" w:themeColor="accent3"/>
              <w:right w:val="single" w:sz="4" w:space="0" w:color="6E3A97" w:themeColor="accent3"/>
            </w:tcBorders>
          </w:tcPr>
          <w:p w14:paraId="353F7121" w14:textId="340FC786" w:rsidR="00A021F1" w:rsidRPr="00DA139B" w:rsidRDefault="00A021F1" w:rsidP="00B63223">
            <w:pPr>
              <w:pStyle w:val="ListParagraph"/>
              <w:ind w:left="360"/>
              <w:cnfStyle w:val="000000000000" w:firstRow="0" w:lastRow="0" w:firstColumn="0" w:lastColumn="0" w:oddVBand="0" w:evenVBand="0" w:oddHBand="0" w:evenHBand="0" w:firstRowFirstColumn="0" w:firstRowLastColumn="0" w:lastRowFirstColumn="0" w:lastRowLastColumn="0"/>
              <w:rPr>
                <w:rFonts w:ascii="Open Sans" w:hAnsi="Open Sans" w:cs="Open Sans"/>
                <w:sz w:val="22"/>
              </w:rPr>
            </w:pPr>
          </w:p>
        </w:tc>
        <w:tc>
          <w:tcPr>
            <w:tcW w:w="3685" w:type="dxa"/>
            <w:tcBorders>
              <w:left w:val="single" w:sz="4" w:space="0" w:color="6E3A97" w:themeColor="accent3"/>
            </w:tcBorders>
          </w:tcPr>
          <w:p w14:paraId="5FA1F852" w14:textId="77777777" w:rsidR="00A021F1" w:rsidRPr="00DA139B" w:rsidRDefault="00A021F1" w:rsidP="00B63223">
            <w:pPr>
              <w:pStyle w:val="ListParagraph"/>
              <w:ind w:left="360"/>
              <w:cnfStyle w:val="000000000000" w:firstRow="0" w:lastRow="0" w:firstColumn="0" w:lastColumn="0" w:oddVBand="0" w:evenVBand="0" w:oddHBand="0" w:evenHBand="0" w:firstRowFirstColumn="0" w:firstRowLastColumn="0" w:lastRowFirstColumn="0" w:lastRowLastColumn="0"/>
              <w:rPr>
                <w:rFonts w:ascii="Open Sans" w:hAnsi="Open Sans" w:cs="Open Sans"/>
                <w:sz w:val="22"/>
              </w:rPr>
            </w:pPr>
          </w:p>
        </w:tc>
      </w:tr>
      <w:tr w:rsidR="00A021F1" w:rsidRPr="00DA139B" w14:paraId="7F688D14" w14:textId="63C03DA6" w:rsidTr="00A02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Borders>
              <w:right w:val="single" w:sz="4" w:space="0" w:color="6E3A97" w:themeColor="accent3"/>
            </w:tcBorders>
          </w:tcPr>
          <w:p w14:paraId="6C3F135F" w14:textId="2B276768" w:rsidR="00A021F1" w:rsidRPr="00DA139B" w:rsidRDefault="00A021F1" w:rsidP="00DA139B">
            <w:pPr>
              <w:rPr>
                <w:sz w:val="22"/>
              </w:rPr>
            </w:pPr>
            <w:r w:rsidRPr="00DA139B">
              <w:rPr>
                <w:sz w:val="22"/>
              </w:rPr>
              <w:t>3.</w:t>
            </w:r>
            <w:r>
              <w:rPr>
                <w:sz w:val="22"/>
              </w:rPr>
              <w:t>3</w:t>
            </w:r>
            <w:r w:rsidRPr="00DA139B">
              <w:rPr>
                <w:sz w:val="22"/>
              </w:rPr>
              <w:t xml:space="preserve"> Pupils learn to understand each other and value diversity; there are strong and positive relationships between individuals from different backgrounds within the school</w:t>
            </w:r>
          </w:p>
          <w:p w14:paraId="20205C0C" w14:textId="77777777" w:rsidR="00A021F1" w:rsidRPr="00DA139B" w:rsidRDefault="00A021F1" w:rsidP="006B0B50">
            <w:pPr>
              <w:rPr>
                <w:sz w:val="22"/>
              </w:rPr>
            </w:pPr>
          </w:p>
        </w:tc>
        <w:tc>
          <w:tcPr>
            <w:tcW w:w="4961" w:type="dxa"/>
            <w:tcBorders>
              <w:left w:val="single" w:sz="4" w:space="0" w:color="6E3A97" w:themeColor="accent3"/>
              <w:right w:val="single" w:sz="4" w:space="0" w:color="6E3A97" w:themeColor="accent3"/>
            </w:tcBorders>
          </w:tcPr>
          <w:p w14:paraId="0A08ADFF" w14:textId="198ADD2E" w:rsidR="00A021F1" w:rsidRPr="005714B9" w:rsidRDefault="00A021F1" w:rsidP="00DA139B">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b/>
                <w:sz w:val="22"/>
              </w:rPr>
            </w:pPr>
            <w:r w:rsidRPr="005714B9">
              <w:rPr>
                <w:rFonts w:ascii="Open Sans" w:hAnsi="Open Sans" w:cs="Open Sans"/>
                <w:sz w:val="22"/>
              </w:rPr>
              <w:t>Young people have the opportunity to learn about different families, relationships and genders</w:t>
            </w:r>
          </w:p>
          <w:p w14:paraId="0A07D09A" w14:textId="61A1388C" w:rsidR="00A021F1" w:rsidRPr="005714B9" w:rsidRDefault="00A021F1" w:rsidP="00DA139B">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b/>
                <w:sz w:val="22"/>
              </w:rPr>
            </w:pPr>
            <w:r w:rsidRPr="005714B9">
              <w:rPr>
                <w:rFonts w:ascii="Open Sans" w:hAnsi="Open Sans" w:cs="Open Sans"/>
                <w:sz w:val="22"/>
              </w:rPr>
              <w:t>Pupils have access to resources which explore different families, relationships and genders</w:t>
            </w:r>
          </w:p>
          <w:p w14:paraId="1E1E9BF7" w14:textId="77777777" w:rsidR="00A021F1" w:rsidRPr="005714B9" w:rsidRDefault="00A021F1" w:rsidP="00DA139B">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b/>
                <w:sz w:val="22"/>
              </w:rPr>
            </w:pPr>
            <w:r w:rsidRPr="005714B9">
              <w:rPr>
                <w:rFonts w:ascii="Open Sans" w:hAnsi="Open Sans" w:cs="Open Sans"/>
                <w:sz w:val="22"/>
              </w:rPr>
              <w:t>Pupils learn of the important contributions which people of different backgrounds have made, and continue to make, to UK society</w:t>
            </w:r>
          </w:p>
          <w:p w14:paraId="4362B2CB" w14:textId="77777777" w:rsidR="00A021F1" w:rsidRPr="005714B9" w:rsidRDefault="00A021F1" w:rsidP="00DA139B">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Open Sans" w:hAnsi="Open Sans" w:cs="Open Sans"/>
                <w:sz w:val="22"/>
              </w:rPr>
            </w:pPr>
            <w:r w:rsidRPr="005714B9">
              <w:rPr>
                <w:rFonts w:ascii="Open Sans" w:hAnsi="Open Sans" w:cs="Open Sans"/>
                <w:sz w:val="22"/>
              </w:rPr>
              <w:t>Peer support groups and/or mentoring/buddie schemes are in place</w:t>
            </w:r>
          </w:p>
          <w:p w14:paraId="3C71EE03" w14:textId="77777777" w:rsidR="00A021F1" w:rsidRPr="005714B9" w:rsidRDefault="00A021F1" w:rsidP="00DA139B">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Open Sans" w:hAnsi="Open Sans" w:cs="Open Sans"/>
                <w:sz w:val="22"/>
              </w:rPr>
            </w:pPr>
            <w:r w:rsidRPr="005714B9">
              <w:rPr>
                <w:rFonts w:ascii="Open Sans" w:hAnsi="Open Sans" w:cs="Open Sans"/>
                <w:sz w:val="22"/>
              </w:rPr>
              <w:t>Work around diversity is embedded into the school’s SMSC development and PSHE programme</w:t>
            </w:r>
          </w:p>
          <w:p w14:paraId="14780670" w14:textId="729574B5" w:rsidR="00A021F1" w:rsidRPr="00034B22" w:rsidRDefault="00A021F1" w:rsidP="00034B22">
            <w:pPr>
              <w:cnfStyle w:val="000000100000" w:firstRow="0" w:lastRow="0" w:firstColumn="0" w:lastColumn="0" w:oddVBand="0" w:evenVBand="0" w:oddHBand="1" w:evenHBand="0" w:firstRowFirstColumn="0" w:firstRowLastColumn="0" w:lastRowFirstColumn="0" w:lastRowLastColumn="0"/>
              <w:rPr>
                <w:b/>
                <w:sz w:val="22"/>
              </w:rPr>
            </w:pPr>
          </w:p>
        </w:tc>
        <w:tc>
          <w:tcPr>
            <w:tcW w:w="3969" w:type="dxa"/>
            <w:tcBorders>
              <w:left w:val="single" w:sz="4" w:space="0" w:color="6E3A97" w:themeColor="accent3"/>
              <w:right w:val="single" w:sz="4" w:space="0" w:color="6E3A97" w:themeColor="accent3"/>
            </w:tcBorders>
          </w:tcPr>
          <w:p w14:paraId="074A427A" w14:textId="5649B10D" w:rsidR="00BA63B1" w:rsidRPr="00DA139B" w:rsidRDefault="00BA63B1" w:rsidP="00B63223">
            <w:pPr>
              <w:pStyle w:val="ListParagraph"/>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z w:val="22"/>
              </w:rPr>
            </w:pPr>
          </w:p>
        </w:tc>
        <w:tc>
          <w:tcPr>
            <w:tcW w:w="3685" w:type="dxa"/>
            <w:tcBorders>
              <w:left w:val="single" w:sz="4" w:space="0" w:color="6E3A97" w:themeColor="accent3"/>
            </w:tcBorders>
          </w:tcPr>
          <w:p w14:paraId="6109FDAB" w14:textId="5C662942" w:rsidR="00BA63B1" w:rsidRPr="00DA139B" w:rsidRDefault="00BA63B1" w:rsidP="00B63223">
            <w:pPr>
              <w:pStyle w:val="ListParagraph"/>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z w:val="22"/>
              </w:rPr>
            </w:pPr>
          </w:p>
        </w:tc>
      </w:tr>
      <w:tr w:rsidR="00A021F1" w:rsidRPr="00DA139B" w14:paraId="6F0854F1" w14:textId="57556655" w:rsidTr="00A021F1">
        <w:tc>
          <w:tcPr>
            <w:cnfStyle w:val="001000000000" w:firstRow="0" w:lastRow="0" w:firstColumn="1" w:lastColumn="0" w:oddVBand="0" w:evenVBand="0" w:oddHBand="0" w:evenHBand="0" w:firstRowFirstColumn="0" w:firstRowLastColumn="0" w:lastRowFirstColumn="0" w:lastRowLastColumn="0"/>
            <w:tcW w:w="1986" w:type="dxa"/>
            <w:tcBorders>
              <w:right w:val="single" w:sz="4" w:space="0" w:color="6E3A97" w:themeColor="accent3"/>
            </w:tcBorders>
          </w:tcPr>
          <w:p w14:paraId="3285F46B" w14:textId="6E26257D" w:rsidR="00A021F1" w:rsidRPr="00DA139B" w:rsidRDefault="00A021F1" w:rsidP="00DA139B">
            <w:pPr>
              <w:rPr>
                <w:rFonts w:ascii="Open Sans" w:hAnsi="Open Sans" w:cs="Open Sans"/>
                <w:sz w:val="22"/>
              </w:rPr>
            </w:pPr>
            <w:r w:rsidRPr="00DA139B">
              <w:rPr>
                <w:sz w:val="22"/>
              </w:rPr>
              <w:t>3.</w:t>
            </w:r>
            <w:r>
              <w:rPr>
                <w:sz w:val="22"/>
              </w:rPr>
              <w:t>4</w:t>
            </w:r>
            <w:r w:rsidRPr="00DA139B">
              <w:rPr>
                <w:sz w:val="22"/>
              </w:rPr>
              <w:t xml:space="preserve"> </w:t>
            </w:r>
            <w:r w:rsidRPr="00DA139B">
              <w:rPr>
                <w:rFonts w:ascii="Open Sans" w:hAnsi="Open Sans" w:cs="Open Sans"/>
                <w:sz w:val="22"/>
              </w:rPr>
              <w:t>Robust Relationships and Sex Education (RSE) is in place</w:t>
            </w:r>
          </w:p>
          <w:p w14:paraId="5496ABDD" w14:textId="77777777" w:rsidR="00A021F1" w:rsidRPr="00DA139B" w:rsidRDefault="00A021F1" w:rsidP="006B0B50">
            <w:pPr>
              <w:rPr>
                <w:sz w:val="22"/>
              </w:rPr>
            </w:pPr>
          </w:p>
        </w:tc>
        <w:tc>
          <w:tcPr>
            <w:tcW w:w="4961" w:type="dxa"/>
            <w:tcBorders>
              <w:left w:val="single" w:sz="4" w:space="0" w:color="6E3A97" w:themeColor="accent3"/>
              <w:right w:val="single" w:sz="4" w:space="0" w:color="6E3A97" w:themeColor="accent3"/>
            </w:tcBorders>
          </w:tcPr>
          <w:p w14:paraId="3C6DC6DF" w14:textId="77777777" w:rsidR="00A021F1" w:rsidRPr="005714B9" w:rsidRDefault="00A021F1" w:rsidP="00DA139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Open Sans" w:hAnsi="Open Sans" w:cs="Open Sans"/>
                <w:sz w:val="22"/>
              </w:rPr>
            </w:pPr>
            <w:r w:rsidRPr="005714B9">
              <w:rPr>
                <w:rFonts w:ascii="Open Sans" w:hAnsi="Open Sans" w:cs="Open Sans"/>
                <w:sz w:val="22"/>
              </w:rPr>
              <w:t>The school has an RSE policy in place, which is written in consultation with parents/carers, makes reference to people of all backgrounds and reflects the composition of the local community</w:t>
            </w:r>
          </w:p>
          <w:p w14:paraId="5A733339" w14:textId="4DCB5CB5" w:rsidR="00A021F1" w:rsidRPr="005714B9" w:rsidRDefault="00A021F1" w:rsidP="00DA139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Open Sans" w:hAnsi="Open Sans" w:cs="Open Sans"/>
                <w:sz w:val="22"/>
              </w:rPr>
            </w:pPr>
            <w:r w:rsidRPr="005714B9">
              <w:rPr>
                <w:rFonts w:ascii="Open Sans" w:hAnsi="Open Sans" w:cs="Open Sans"/>
                <w:sz w:val="22"/>
              </w:rPr>
              <w:t>RSE is inclusive of LGBT+ people</w:t>
            </w:r>
          </w:p>
          <w:p w14:paraId="10810639" w14:textId="77777777" w:rsidR="00A021F1" w:rsidRPr="005714B9" w:rsidRDefault="00A021F1" w:rsidP="00DA139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sz w:val="22"/>
              </w:rPr>
            </w:pPr>
            <w:r w:rsidRPr="005714B9">
              <w:rPr>
                <w:rFonts w:ascii="Open Sans" w:hAnsi="Open Sans" w:cs="Open Sans"/>
                <w:sz w:val="22"/>
              </w:rPr>
              <w:t>RSE is delivered by trained teachers</w:t>
            </w:r>
          </w:p>
          <w:p w14:paraId="40D87D7E" w14:textId="77777777" w:rsidR="00A021F1" w:rsidRPr="005714B9" w:rsidRDefault="00A021F1" w:rsidP="00DA139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Open Sans" w:hAnsi="Open Sans" w:cs="Open Sans"/>
                <w:sz w:val="22"/>
              </w:rPr>
            </w:pPr>
            <w:r w:rsidRPr="005714B9">
              <w:rPr>
                <w:rFonts w:ascii="Open Sans" w:hAnsi="Open Sans" w:cs="Open Sans"/>
                <w:sz w:val="22"/>
              </w:rPr>
              <w:t>There is a lead teacher for RSE</w:t>
            </w:r>
          </w:p>
          <w:p w14:paraId="4C531ADF" w14:textId="77777777" w:rsidR="00A021F1" w:rsidRPr="005714B9" w:rsidRDefault="00A021F1" w:rsidP="00DA139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sz w:val="22"/>
              </w:rPr>
            </w:pPr>
            <w:r w:rsidRPr="005714B9">
              <w:rPr>
                <w:rFonts w:ascii="Open Sans" w:hAnsi="Open Sans" w:cs="Open Sans"/>
                <w:sz w:val="22"/>
              </w:rPr>
              <w:t>Teachers provide young people with opportunities to ask questions about relationships (and sex)</w:t>
            </w:r>
          </w:p>
          <w:p w14:paraId="2B3ABD85" w14:textId="77777777" w:rsidR="00A021F1" w:rsidRPr="005714B9" w:rsidRDefault="00A021F1" w:rsidP="00DA139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Open Sans" w:hAnsi="Open Sans" w:cs="Open Sans"/>
                <w:sz w:val="22"/>
              </w:rPr>
            </w:pPr>
            <w:r w:rsidRPr="005714B9">
              <w:rPr>
                <w:rFonts w:ascii="Open Sans" w:hAnsi="Open Sans" w:cs="Open Sans"/>
                <w:sz w:val="22"/>
              </w:rPr>
              <w:lastRenderedPageBreak/>
              <w:t>Pupils and parents/carers are given the opportunity to feedback on the school’s RSE policy and scheme of work</w:t>
            </w:r>
          </w:p>
          <w:p w14:paraId="334C279C" w14:textId="6681A6E1" w:rsidR="00A021F1" w:rsidRPr="005714B9" w:rsidRDefault="00A021F1" w:rsidP="006B0B50">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sz w:val="22"/>
              </w:rPr>
            </w:pPr>
            <w:r w:rsidRPr="005714B9">
              <w:rPr>
                <w:rFonts w:ascii="Open Sans" w:hAnsi="Open Sans" w:cs="Open Sans"/>
                <w:sz w:val="22"/>
              </w:rPr>
              <w:t>RSE is analysed to ensure that it is inclusive of all pupils and free from prejudice or bias and is regularly updated</w:t>
            </w:r>
          </w:p>
        </w:tc>
        <w:tc>
          <w:tcPr>
            <w:tcW w:w="3969" w:type="dxa"/>
            <w:tcBorders>
              <w:left w:val="single" w:sz="4" w:space="0" w:color="6E3A97" w:themeColor="accent3"/>
              <w:right w:val="single" w:sz="4" w:space="0" w:color="6E3A97" w:themeColor="accent3"/>
            </w:tcBorders>
          </w:tcPr>
          <w:p w14:paraId="5B2628B7" w14:textId="3827DF32" w:rsidR="00BA63B1" w:rsidRPr="00DA139B" w:rsidRDefault="00BA63B1" w:rsidP="00B63223">
            <w:pPr>
              <w:pStyle w:val="ListParagraph"/>
              <w:ind w:left="360"/>
              <w:cnfStyle w:val="000000000000" w:firstRow="0" w:lastRow="0" w:firstColumn="0" w:lastColumn="0" w:oddVBand="0" w:evenVBand="0" w:oddHBand="0" w:evenHBand="0" w:firstRowFirstColumn="0" w:firstRowLastColumn="0" w:lastRowFirstColumn="0" w:lastRowLastColumn="0"/>
              <w:rPr>
                <w:rFonts w:ascii="Open Sans" w:hAnsi="Open Sans" w:cs="Open Sans"/>
                <w:sz w:val="22"/>
              </w:rPr>
            </w:pPr>
          </w:p>
        </w:tc>
        <w:tc>
          <w:tcPr>
            <w:tcW w:w="3685" w:type="dxa"/>
            <w:tcBorders>
              <w:left w:val="single" w:sz="4" w:space="0" w:color="6E3A97" w:themeColor="accent3"/>
            </w:tcBorders>
          </w:tcPr>
          <w:p w14:paraId="0243A339" w14:textId="46371E98" w:rsidR="00BA63B1" w:rsidRPr="00DA139B" w:rsidRDefault="00BA63B1" w:rsidP="00B63223">
            <w:pPr>
              <w:pStyle w:val="ListParagraph"/>
              <w:ind w:left="360"/>
              <w:cnfStyle w:val="000000000000" w:firstRow="0" w:lastRow="0" w:firstColumn="0" w:lastColumn="0" w:oddVBand="0" w:evenVBand="0" w:oddHBand="0" w:evenHBand="0" w:firstRowFirstColumn="0" w:firstRowLastColumn="0" w:lastRowFirstColumn="0" w:lastRowLastColumn="0"/>
              <w:rPr>
                <w:rFonts w:ascii="Open Sans" w:hAnsi="Open Sans" w:cs="Open Sans"/>
                <w:sz w:val="22"/>
              </w:rPr>
            </w:pPr>
          </w:p>
        </w:tc>
      </w:tr>
      <w:tr w:rsidR="00A021F1" w:rsidRPr="00DA139B" w14:paraId="6BECA44F" w14:textId="77D97B19" w:rsidTr="00A02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Borders>
              <w:right w:val="single" w:sz="4" w:space="0" w:color="6E3A97" w:themeColor="accent3"/>
            </w:tcBorders>
          </w:tcPr>
          <w:p w14:paraId="418BB3CA" w14:textId="5824FFDD" w:rsidR="00A021F1" w:rsidRPr="00DA139B" w:rsidRDefault="00A021F1" w:rsidP="00DA139B">
            <w:pPr>
              <w:rPr>
                <w:rFonts w:ascii="Open Sans" w:hAnsi="Open Sans" w:cs="Open Sans"/>
                <w:sz w:val="22"/>
              </w:rPr>
            </w:pPr>
            <w:r w:rsidRPr="00DA139B">
              <w:rPr>
                <w:sz w:val="22"/>
              </w:rPr>
              <w:lastRenderedPageBreak/>
              <w:t>3.</w:t>
            </w:r>
            <w:r>
              <w:rPr>
                <w:sz w:val="22"/>
              </w:rPr>
              <w:t>5</w:t>
            </w:r>
            <w:r w:rsidRPr="00DA139B">
              <w:rPr>
                <w:sz w:val="22"/>
              </w:rPr>
              <w:t xml:space="preserve"> </w:t>
            </w:r>
            <w:r w:rsidRPr="00DA139B">
              <w:rPr>
                <w:rFonts w:ascii="Open Sans" w:hAnsi="Open Sans" w:cs="Open Sans"/>
                <w:sz w:val="22"/>
              </w:rPr>
              <w:t>PSHE provision is robust, considered and applicable to the issues in the local area</w:t>
            </w:r>
          </w:p>
          <w:p w14:paraId="3BC98E1D" w14:textId="77777777" w:rsidR="00A021F1" w:rsidRPr="00DA139B" w:rsidRDefault="00A021F1" w:rsidP="006B0B50">
            <w:pPr>
              <w:rPr>
                <w:sz w:val="22"/>
              </w:rPr>
            </w:pPr>
          </w:p>
        </w:tc>
        <w:tc>
          <w:tcPr>
            <w:tcW w:w="4961" w:type="dxa"/>
            <w:tcBorders>
              <w:left w:val="single" w:sz="4" w:space="0" w:color="6E3A97" w:themeColor="accent3"/>
              <w:right w:val="single" w:sz="4" w:space="0" w:color="6E3A97" w:themeColor="accent3"/>
            </w:tcBorders>
          </w:tcPr>
          <w:p w14:paraId="6384D338" w14:textId="77777777" w:rsidR="00A021F1" w:rsidRPr="005714B9" w:rsidRDefault="00A021F1" w:rsidP="00DA139B">
            <w:pPr>
              <w:pStyle w:val="ListParagraph"/>
              <w:numPr>
                <w:ilvl w:val="0"/>
                <w:numId w:val="53"/>
              </w:numPr>
              <w:cnfStyle w:val="000000100000" w:firstRow="0" w:lastRow="0" w:firstColumn="0" w:lastColumn="0" w:oddVBand="0" w:evenVBand="0" w:oddHBand="1" w:evenHBand="0" w:firstRowFirstColumn="0" w:firstRowLastColumn="0" w:lastRowFirstColumn="0" w:lastRowLastColumn="0"/>
              <w:rPr>
                <w:sz w:val="22"/>
              </w:rPr>
            </w:pPr>
            <w:r w:rsidRPr="005714B9">
              <w:rPr>
                <w:rFonts w:ascii="Open Sans" w:hAnsi="Open Sans" w:cs="Open Sans"/>
                <w:sz w:val="22"/>
              </w:rPr>
              <w:t>The school has a robust PSHE policy in place</w:t>
            </w:r>
          </w:p>
          <w:p w14:paraId="79A7F417" w14:textId="2FA870B6" w:rsidR="00A021F1" w:rsidRPr="005714B9" w:rsidRDefault="00A021F1" w:rsidP="00DA139B">
            <w:pPr>
              <w:pStyle w:val="ListParagraph"/>
              <w:numPr>
                <w:ilvl w:val="0"/>
                <w:numId w:val="53"/>
              </w:numPr>
              <w:cnfStyle w:val="000000100000" w:firstRow="0" w:lastRow="0" w:firstColumn="0" w:lastColumn="0" w:oddVBand="0" w:evenVBand="0" w:oddHBand="1" w:evenHBand="0" w:firstRowFirstColumn="0" w:firstRowLastColumn="0" w:lastRowFirstColumn="0" w:lastRowLastColumn="0"/>
              <w:rPr>
                <w:rFonts w:ascii="Open Sans" w:hAnsi="Open Sans" w:cs="Open Sans"/>
                <w:sz w:val="22"/>
              </w:rPr>
            </w:pPr>
            <w:r w:rsidRPr="005714B9">
              <w:rPr>
                <w:rFonts w:ascii="Open Sans" w:hAnsi="Open Sans" w:cs="Open Sans"/>
                <w:sz w:val="22"/>
              </w:rPr>
              <w:t>Staff who deliver PSHE lessons receive training on working with young people on LGBT+ equality issues</w:t>
            </w:r>
          </w:p>
          <w:p w14:paraId="70A88217" w14:textId="77777777" w:rsidR="00A021F1" w:rsidRPr="005714B9" w:rsidRDefault="00A021F1" w:rsidP="00DA139B">
            <w:pPr>
              <w:pStyle w:val="ListParagraph"/>
              <w:numPr>
                <w:ilvl w:val="0"/>
                <w:numId w:val="53"/>
              </w:numPr>
              <w:cnfStyle w:val="000000100000" w:firstRow="0" w:lastRow="0" w:firstColumn="0" w:lastColumn="0" w:oddVBand="0" w:evenVBand="0" w:oddHBand="1" w:evenHBand="0" w:firstRowFirstColumn="0" w:firstRowLastColumn="0" w:lastRowFirstColumn="0" w:lastRowLastColumn="0"/>
              <w:rPr>
                <w:rFonts w:ascii="Open Sans" w:hAnsi="Open Sans" w:cs="Open Sans"/>
                <w:sz w:val="22"/>
              </w:rPr>
            </w:pPr>
            <w:r w:rsidRPr="005714B9">
              <w:rPr>
                <w:rFonts w:ascii="Open Sans" w:hAnsi="Open Sans" w:cs="Open Sans"/>
                <w:sz w:val="22"/>
              </w:rPr>
              <w:t>Pupils and parents/carers are given the opportunity to feedback on the school’s PSHE provision</w:t>
            </w:r>
          </w:p>
          <w:p w14:paraId="3E5DCB12" w14:textId="1145C1EF" w:rsidR="00A021F1" w:rsidRPr="005714B9" w:rsidRDefault="00A021F1" w:rsidP="006B0B50">
            <w:pPr>
              <w:pStyle w:val="ListParagraph"/>
              <w:numPr>
                <w:ilvl w:val="0"/>
                <w:numId w:val="53"/>
              </w:numPr>
              <w:cnfStyle w:val="000000100000" w:firstRow="0" w:lastRow="0" w:firstColumn="0" w:lastColumn="0" w:oddVBand="0" w:evenVBand="0" w:oddHBand="1" w:evenHBand="0" w:firstRowFirstColumn="0" w:firstRowLastColumn="0" w:lastRowFirstColumn="0" w:lastRowLastColumn="0"/>
              <w:rPr>
                <w:sz w:val="22"/>
              </w:rPr>
            </w:pPr>
            <w:r w:rsidRPr="005714B9">
              <w:rPr>
                <w:rFonts w:ascii="Open Sans" w:hAnsi="Open Sans" w:cs="Open Sans"/>
                <w:sz w:val="22"/>
              </w:rPr>
              <w:t>PSHE provision is analysed to ensure that it is inclusive of all pupils and free from prejudice or bias and is updated accordingly</w:t>
            </w:r>
          </w:p>
        </w:tc>
        <w:tc>
          <w:tcPr>
            <w:tcW w:w="3969" w:type="dxa"/>
            <w:tcBorders>
              <w:left w:val="single" w:sz="4" w:space="0" w:color="6E3A97" w:themeColor="accent3"/>
              <w:right w:val="single" w:sz="4" w:space="0" w:color="6E3A97" w:themeColor="accent3"/>
            </w:tcBorders>
          </w:tcPr>
          <w:p w14:paraId="0B816497" w14:textId="77777777" w:rsidR="00BA63B1" w:rsidRPr="00DA139B" w:rsidRDefault="00BA63B1" w:rsidP="00B63223">
            <w:pPr>
              <w:pStyle w:val="ListParagraph"/>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z w:val="22"/>
              </w:rPr>
            </w:pPr>
          </w:p>
        </w:tc>
        <w:tc>
          <w:tcPr>
            <w:tcW w:w="3685" w:type="dxa"/>
            <w:tcBorders>
              <w:left w:val="single" w:sz="4" w:space="0" w:color="6E3A97" w:themeColor="accent3"/>
            </w:tcBorders>
          </w:tcPr>
          <w:p w14:paraId="6D547387" w14:textId="37E7B0E7" w:rsidR="00A021F1" w:rsidRPr="00DA139B" w:rsidRDefault="00A021F1" w:rsidP="00B63223">
            <w:pPr>
              <w:pStyle w:val="ListParagraph"/>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z w:val="22"/>
              </w:rPr>
            </w:pPr>
          </w:p>
        </w:tc>
      </w:tr>
    </w:tbl>
    <w:p w14:paraId="796B10AA" w14:textId="77777777" w:rsidR="00052E4B" w:rsidRDefault="00052E4B" w:rsidP="00D57BC6">
      <w:pPr>
        <w:pStyle w:val="Heading1"/>
        <w:spacing w:before="0"/>
        <w:rPr>
          <w:color w:val="00A7FF" w:themeColor="accent5"/>
        </w:rPr>
      </w:pPr>
    </w:p>
    <w:p w14:paraId="5EA9D8DF" w14:textId="1D08E5F8" w:rsidR="00D57BC6" w:rsidRPr="00D57BC6" w:rsidRDefault="006B0B50" w:rsidP="00D57BC6">
      <w:pPr>
        <w:pStyle w:val="Heading1"/>
        <w:spacing w:before="0"/>
        <w:rPr>
          <w:color w:val="00A7FF" w:themeColor="accent5"/>
        </w:rPr>
      </w:pPr>
      <w:r w:rsidRPr="006B0B50">
        <w:rPr>
          <w:color w:val="00A7FF" w:themeColor="accent5"/>
        </w:rPr>
        <w:t>Teaching and Learning</w:t>
      </w:r>
    </w:p>
    <w:tbl>
      <w:tblPr>
        <w:tblStyle w:val="ListTable3-Accent51"/>
        <w:tblW w:w="14601" w:type="dxa"/>
        <w:tblInd w:w="-431" w:type="dxa"/>
        <w:tblLook w:val="04A0" w:firstRow="1" w:lastRow="0" w:firstColumn="1" w:lastColumn="0" w:noHBand="0" w:noVBand="1"/>
      </w:tblPr>
      <w:tblGrid>
        <w:gridCol w:w="1998"/>
        <w:gridCol w:w="4957"/>
        <w:gridCol w:w="3965"/>
        <w:gridCol w:w="3681"/>
      </w:tblGrid>
      <w:tr w:rsidR="00A021F1" w:rsidRPr="00DA139B" w14:paraId="47548B3A" w14:textId="4F5D9440" w:rsidTr="00A021F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6" w:type="dxa"/>
            <w:tcBorders>
              <w:right w:val="single" w:sz="4" w:space="0" w:color="00A7FF" w:themeColor="accent5"/>
            </w:tcBorders>
          </w:tcPr>
          <w:p w14:paraId="6E2CE6C3" w14:textId="3F9A1222" w:rsidR="00A021F1" w:rsidRPr="00DA139B" w:rsidRDefault="00A021F1" w:rsidP="006B0B50">
            <w:pPr>
              <w:rPr>
                <w:sz w:val="22"/>
              </w:rPr>
            </w:pPr>
            <w:r w:rsidRPr="00DA139B">
              <w:rPr>
                <w:sz w:val="22"/>
              </w:rPr>
              <w:t>Indicator</w:t>
            </w:r>
          </w:p>
        </w:tc>
        <w:tc>
          <w:tcPr>
            <w:tcW w:w="4961" w:type="dxa"/>
            <w:tcBorders>
              <w:left w:val="single" w:sz="4" w:space="0" w:color="00A7FF" w:themeColor="accent5"/>
              <w:right w:val="single" w:sz="4" w:space="0" w:color="00A7FF" w:themeColor="accent5"/>
            </w:tcBorders>
          </w:tcPr>
          <w:p w14:paraId="4B9DC9E4" w14:textId="27387C85" w:rsidR="00A021F1" w:rsidRPr="00DA139B" w:rsidRDefault="00A021F1" w:rsidP="006B0B50">
            <w:pPr>
              <w:cnfStyle w:val="100000000000" w:firstRow="1" w:lastRow="0" w:firstColumn="0" w:lastColumn="0" w:oddVBand="0" w:evenVBand="0" w:oddHBand="0" w:evenHBand="0" w:firstRowFirstColumn="0" w:firstRowLastColumn="0" w:lastRowFirstColumn="0" w:lastRowLastColumn="0"/>
              <w:rPr>
                <w:sz w:val="22"/>
              </w:rPr>
            </w:pPr>
            <w:r w:rsidRPr="00DA139B">
              <w:rPr>
                <w:sz w:val="22"/>
              </w:rPr>
              <w:t>Benchmarks</w:t>
            </w:r>
          </w:p>
        </w:tc>
        <w:tc>
          <w:tcPr>
            <w:tcW w:w="3969" w:type="dxa"/>
            <w:tcBorders>
              <w:left w:val="single" w:sz="4" w:space="0" w:color="00A7FF" w:themeColor="accent5"/>
              <w:right w:val="single" w:sz="4" w:space="0" w:color="00A7FF" w:themeColor="accent5"/>
            </w:tcBorders>
          </w:tcPr>
          <w:p w14:paraId="0D367649" w14:textId="5C18FC08" w:rsidR="00A021F1" w:rsidRPr="00DA139B" w:rsidRDefault="00A021F1" w:rsidP="006B0B50">
            <w:pPr>
              <w:cnfStyle w:val="100000000000" w:firstRow="1" w:lastRow="0" w:firstColumn="0" w:lastColumn="0" w:oddVBand="0" w:evenVBand="0" w:oddHBand="0" w:evenHBand="0" w:firstRowFirstColumn="0" w:firstRowLastColumn="0" w:lastRowFirstColumn="0" w:lastRowLastColumn="0"/>
              <w:rPr>
                <w:sz w:val="22"/>
              </w:rPr>
            </w:pPr>
            <w:r>
              <w:rPr>
                <w:sz w:val="22"/>
              </w:rPr>
              <w:t>Current Practice</w:t>
            </w:r>
          </w:p>
        </w:tc>
        <w:tc>
          <w:tcPr>
            <w:tcW w:w="3685" w:type="dxa"/>
            <w:tcBorders>
              <w:left w:val="single" w:sz="4" w:space="0" w:color="00A7FF" w:themeColor="accent5"/>
            </w:tcBorders>
          </w:tcPr>
          <w:p w14:paraId="540D3670" w14:textId="3DB6C810" w:rsidR="00A021F1" w:rsidRPr="00DA139B" w:rsidRDefault="00A021F1" w:rsidP="006B0B50">
            <w:pPr>
              <w:cnfStyle w:val="100000000000" w:firstRow="1" w:lastRow="0" w:firstColumn="0" w:lastColumn="0" w:oddVBand="0" w:evenVBand="0" w:oddHBand="0" w:evenHBand="0" w:firstRowFirstColumn="0" w:firstRowLastColumn="0" w:lastRowFirstColumn="0" w:lastRowLastColumn="0"/>
              <w:rPr>
                <w:sz w:val="22"/>
              </w:rPr>
            </w:pPr>
            <w:r>
              <w:rPr>
                <w:sz w:val="22"/>
              </w:rPr>
              <w:t>How to Improve</w:t>
            </w:r>
          </w:p>
        </w:tc>
      </w:tr>
      <w:tr w:rsidR="00A021F1" w:rsidRPr="00DA139B" w14:paraId="4593BEA7" w14:textId="19EE42B4" w:rsidTr="00A02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Borders>
              <w:right w:val="single" w:sz="4" w:space="0" w:color="00A7FF" w:themeColor="accent5"/>
            </w:tcBorders>
          </w:tcPr>
          <w:p w14:paraId="1D0DC4F6" w14:textId="181CBBAC" w:rsidR="00A021F1" w:rsidRPr="00DA139B" w:rsidRDefault="00A021F1" w:rsidP="00DA139B">
            <w:pPr>
              <w:rPr>
                <w:sz w:val="22"/>
              </w:rPr>
            </w:pPr>
            <w:r w:rsidRPr="00DA139B">
              <w:rPr>
                <w:sz w:val="22"/>
              </w:rPr>
              <w:t>4.</w:t>
            </w:r>
            <w:r>
              <w:rPr>
                <w:sz w:val="22"/>
              </w:rPr>
              <w:t>1</w:t>
            </w:r>
            <w:r w:rsidRPr="00DA139B">
              <w:rPr>
                <w:sz w:val="22"/>
              </w:rPr>
              <w:t xml:space="preserve"> </w:t>
            </w:r>
            <w:r w:rsidRPr="00DA139B">
              <w:rPr>
                <w:rFonts w:ascii="Open Sans" w:hAnsi="Open Sans" w:cs="Open Sans"/>
                <w:sz w:val="22"/>
              </w:rPr>
              <w:t xml:space="preserve">Curriculum design and implementation is inclusive of people of different sexual </w:t>
            </w:r>
            <w:r w:rsidRPr="00DA139B">
              <w:rPr>
                <w:rFonts w:ascii="Open Sans" w:hAnsi="Open Sans" w:cs="Open Sans"/>
                <w:sz w:val="22"/>
              </w:rPr>
              <w:lastRenderedPageBreak/>
              <w:t>orientations</w:t>
            </w:r>
          </w:p>
          <w:p w14:paraId="01A6F449" w14:textId="77777777" w:rsidR="00A021F1" w:rsidRPr="00DA139B" w:rsidRDefault="00A021F1" w:rsidP="006B0B50">
            <w:pPr>
              <w:rPr>
                <w:sz w:val="22"/>
              </w:rPr>
            </w:pPr>
          </w:p>
        </w:tc>
        <w:tc>
          <w:tcPr>
            <w:tcW w:w="4961" w:type="dxa"/>
            <w:tcBorders>
              <w:left w:val="single" w:sz="4" w:space="0" w:color="00A7FF" w:themeColor="accent5"/>
              <w:right w:val="single" w:sz="4" w:space="0" w:color="00A7FF" w:themeColor="accent5"/>
            </w:tcBorders>
          </w:tcPr>
          <w:p w14:paraId="50D14960" w14:textId="77777777" w:rsidR="00A021F1" w:rsidRPr="005714B9" w:rsidRDefault="00A021F1" w:rsidP="00DA139B">
            <w:pPr>
              <w:pStyle w:val="ListParagraph"/>
              <w:numPr>
                <w:ilvl w:val="0"/>
                <w:numId w:val="60"/>
              </w:numPr>
              <w:cnfStyle w:val="000000100000" w:firstRow="0" w:lastRow="0" w:firstColumn="0" w:lastColumn="0" w:oddVBand="0" w:evenVBand="0" w:oddHBand="1" w:evenHBand="0" w:firstRowFirstColumn="0" w:firstRowLastColumn="0" w:lastRowFirstColumn="0" w:lastRowLastColumn="0"/>
              <w:rPr>
                <w:rFonts w:ascii="Open Sans" w:hAnsi="Open Sans" w:cs="Open Sans"/>
                <w:sz w:val="22"/>
              </w:rPr>
            </w:pPr>
            <w:r w:rsidRPr="005714B9">
              <w:rPr>
                <w:rFonts w:ascii="Open Sans" w:hAnsi="Open Sans" w:cs="Open Sans"/>
                <w:sz w:val="22"/>
              </w:rPr>
              <w:lastRenderedPageBreak/>
              <w:t>Curriculum planning and design is inclusive of people of different sexual orientations</w:t>
            </w:r>
          </w:p>
          <w:p w14:paraId="07F8CA42" w14:textId="7EE4FAB0" w:rsidR="00A021F1" w:rsidRPr="005714B9" w:rsidRDefault="00A021F1" w:rsidP="00DA139B">
            <w:pPr>
              <w:pStyle w:val="ListParagraph"/>
              <w:numPr>
                <w:ilvl w:val="0"/>
                <w:numId w:val="60"/>
              </w:numPr>
              <w:cnfStyle w:val="000000100000" w:firstRow="0" w:lastRow="0" w:firstColumn="0" w:lastColumn="0" w:oddVBand="0" w:evenVBand="0" w:oddHBand="1" w:evenHBand="0" w:firstRowFirstColumn="0" w:firstRowLastColumn="0" w:lastRowFirstColumn="0" w:lastRowLastColumn="0"/>
              <w:rPr>
                <w:rFonts w:ascii="Open Sans" w:hAnsi="Open Sans" w:cs="Open Sans"/>
                <w:sz w:val="22"/>
              </w:rPr>
            </w:pPr>
            <w:r w:rsidRPr="005714B9">
              <w:rPr>
                <w:rFonts w:ascii="Open Sans" w:hAnsi="Open Sans" w:cs="Open Sans"/>
                <w:sz w:val="22"/>
              </w:rPr>
              <w:t xml:space="preserve">Teachers use resources and examples which showcase people from different sexual orientations and which do not </w:t>
            </w:r>
            <w:r w:rsidRPr="005714B9">
              <w:rPr>
                <w:rFonts w:ascii="Open Sans" w:hAnsi="Open Sans" w:cs="Open Sans"/>
                <w:sz w:val="22"/>
              </w:rPr>
              <w:lastRenderedPageBreak/>
              <w:t>reinforce stereotypes</w:t>
            </w:r>
          </w:p>
          <w:p w14:paraId="6E740C68" w14:textId="77777777" w:rsidR="00A021F1" w:rsidRPr="005714B9" w:rsidRDefault="00A021F1" w:rsidP="00DA139B">
            <w:pPr>
              <w:pStyle w:val="ListParagraph"/>
              <w:numPr>
                <w:ilvl w:val="0"/>
                <w:numId w:val="60"/>
              </w:numPr>
              <w:cnfStyle w:val="000000100000" w:firstRow="0" w:lastRow="0" w:firstColumn="0" w:lastColumn="0" w:oddVBand="0" w:evenVBand="0" w:oddHBand="1" w:evenHBand="0" w:firstRowFirstColumn="0" w:firstRowLastColumn="0" w:lastRowFirstColumn="0" w:lastRowLastColumn="0"/>
              <w:rPr>
                <w:rFonts w:ascii="Open Sans" w:hAnsi="Open Sans" w:cs="Open Sans"/>
                <w:sz w:val="22"/>
              </w:rPr>
            </w:pPr>
            <w:r w:rsidRPr="005714B9">
              <w:rPr>
                <w:rFonts w:ascii="Open Sans" w:hAnsi="Open Sans" w:cs="Open Sans"/>
                <w:sz w:val="22"/>
              </w:rPr>
              <w:t>Teachers use LGB inclusive language</w:t>
            </w:r>
          </w:p>
          <w:p w14:paraId="750CE817" w14:textId="77777777" w:rsidR="00A021F1" w:rsidRPr="005714B9" w:rsidRDefault="00A021F1" w:rsidP="00DA139B">
            <w:pPr>
              <w:pStyle w:val="ListParagraph"/>
              <w:numPr>
                <w:ilvl w:val="0"/>
                <w:numId w:val="60"/>
              </w:numPr>
              <w:cnfStyle w:val="000000100000" w:firstRow="0" w:lastRow="0" w:firstColumn="0" w:lastColumn="0" w:oddVBand="0" w:evenVBand="0" w:oddHBand="1" w:evenHBand="0" w:firstRowFirstColumn="0" w:firstRowLastColumn="0" w:lastRowFirstColumn="0" w:lastRowLastColumn="0"/>
              <w:rPr>
                <w:rFonts w:ascii="Open Sans" w:hAnsi="Open Sans" w:cs="Open Sans"/>
                <w:sz w:val="22"/>
              </w:rPr>
            </w:pPr>
            <w:r w:rsidRPr="005714B9">
              <w:rPr>
                <w:rFonts w:ascii="Open Sans" w:hAnsi="Open Sans" w:cs="Open Sans"/>
                <w:sz w:val="22"/>
              </w:rPr>
              <w:t>Pupils and parents/carers feel that teaching and learning is inclusive of people of different sexual orientations</w:t>
            </w:r>
          </w:p>
          <w:p w14:paraId="0B30B35E" w14:textId="77777777" w:rsidR="00A021F1" w:rsidRPr="005714B9" w:rsidRDefault="00A021F1" w:rsidP="00DA139B">
            <w:pPr>
              <w:pStyle w:val="ListParagraph"/>
              <w:numPr>
                <w:ilvl w:val="0"/>
                <w:numId w:val="60"/>
              </w:numPr>
              <w:cnfStyle w:val="000000100000" w:firstRow="0" w:lastRow="0" w:firstColumn="0" w:lastColumn="0" w:oddVBand="0" w:evenVBand="0" w:oddHBand="1" w:evenHBand="0" w:firstRowFirstColumn="0" w:firstRowLastColumn="0" w:lastRowFirstColumn="0" w:lastRowLastColumn="0"/>
              <w:rPr>
                <w:rFonts w:ascii="Open Sans" w:hAnsi="Open Sans" w:cs="Open Sans"/>
                <w:sz w:val="22"/>
              </w:rPr>
            </w:pPr>
            <w:r w:rsidRPr="005714B9">
              <w:rPr>
                <w:rFonts w:ascii="Open Sans" w:hAnsi="Open Sans" w:cs="Open Sans"/>
                <w:sz w:val="22"/>
              </w:rPr>
              <w:t xml:space="preserve">Teachers are aware and respectful of different family make ups amongst pupils </w:t>
            </w:r>
          </w:p>
          <w:p w14:paraId="665DDE1C" w14:textId="77777777" w:rsidR="00A021F1" w:rsidRPr="005714B9" w:rsidRDefault="00A021F1" w:rsidP="00DA139B">
            <w:pPr>
              <w:pStyle w:val="ListParagraph"/>
              <w:numPr>
                <w:ilvl w:val="0"/>
                <w:numId w:val="60"/>
              </w:numPr>
              <w:cnfStyle w:val="000000100000" w:firstRow="0" w:lastRow="0" w:firstColumn="0" w:lastColumn="0" w:oddVBand="0" w:evenVBand="0" w:oddHBand="1" w:evenHBand="0" w:firstRowFirstColumn="0" w:firstRowLastColumn="0" w:lastRowFirstColumn="0" w:lastRowLastColumn="0"/>
              <w:rPr>
                <w:rFonts w:ascii="Open Sans" w:hAnsi="Open Sans" w:cs="Open Sans"/>
                <w:sz w:val="22"/>
              </w:rPr>
            </w:pPr>
            <w:r w:rsidRPr="005714B9">
              <w:rPr>
                <w:rFonts w:ascii="Open Sans" w:hAnsi="Open Sans" w:cs="Open Sans"/>
                <w:sz w:val="22"/>
              </w:rPr>
              <w:t>Where concerns are raised by pupils and parents and carers, steps are taken to address issues</w:t>
            </w:r>
          </w:p>
          <w:p w14:paraId="7CF6412C" w14:textId="6C76CF13" w:rsidR="00A021F1" w:rsidRPr="005714B9" w:rsidRDefault="00A021F1" w:rsidP="006B0B50">
            <w:pPr>
              <w:pStyle w:val="ListParagraph"/>
              <w:numPr>
                <w:ilvl w:val="0"/>
                <w:numId w:val="60"/>
              </w:numPr>
              <w:cnfStyle w:val="000000100000" w:firstRow="0" w:lastRow="0" w:firstColumn="0" w:lastColumn="0" w:oddVBand="0" w:evenVBand="0" w:oddHBand="1" w:evenHBand="0" w:firstRowFirstColumn="0" w:firstRowLastColumn="0" w:lastRowFirstColumn="0" w:lastRowLastColumn="0"/>
              <w:rPr>
                <w:rFonts w:ascii="Open Sans" w:hAnsi="Open Sans" w:cs="Open Sans"/>
                <w:sz w:val="22"/>
              </w:rPr>
            </w:pPr>
            <w:r w:rsidRPr="005714B9">
              <w:rPr>
                <w:rFonts w:ascii="Open Sans" w:hAnsi="Open Sans" w:cs="Open Sans"/>
                <w:sz w:val="22"/>
              </w:rPr>
              <w:t>The curriculum is analysed for bias and prejudice against LGB people and steps are taken to address issues where necessary</w:t>
            </w:r>
          </w:p>
        </w:tc>
        <w:tc>
          <w:tcPr>
            <w:tcW w:w="3969" w:type="dxa"/>
            <w:tcBorders>
              <w:left w:val="single" w:sz="4" w:space="0" w:color="00A7FF" w:themeColor="accent5"/>
              <w:right w:val="single" w:sz="4" w:space="0" w:color="00A7FF" w:themeColor="accent5"/>
            </w:tcBorders>
          </w:tcPr>
          <w:p w14:paraId="155D13FB" w14:textId="5E246A87" w:rsidR="00A021F1" w:rsidRPr="00DA139B" w:rsidRDefault="00A021F1" w:rsidP="00B63223">
            <w:pPr>
              <w:pStyle w:val="ListParagraph"/>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z w:val="22"/>
              </w:rPr>
            </w:pPr>
          </w:p>
        </w:tc>
        <w:tc>
          <w:tcPr>
            <w:tcW w:w="3685" w:type="dxa"/>
            <w:tcBorders>
              <w:left w:val="single" w:sz="4" w:space="0" w:color="00A7FF" w:themeColor="accent5"/>
            </w:tcBorders>
          </w:tcPr>
          <w:p w14:paraId="6481A8F6" w14:textId="6CAA58FA" w:rsidR="00BA63B1" w:rsidRPr="00DA139B" w:rsidRDefault="00BA63B1" w:rsidP="00B63223">
            <w:pPr>
              <w:pStyle w:val="ListParagraph"/>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z w:val="22"/>
              </w:rPr>
            </w:pPr>
          </w:p>
        </w:tc>
      </w:tr>
      <w:tr w:rsidR="00A021F1" w:rsidRPr="00DA139B" w14:paraId="58DC5849" w14:textId="5D3BE0B3" w:rsidTr="00A021F1">
        <w:tc>
          <w:tcPr>
            <w:cnfStyle w:val="001000000000" w:firstRow="0" w:lastRow="0" w:firstColumn="1" w:lastColumn="0" w:oddVBand="0" w:evenVBand="0" w:oddHBand="0" w:evenHBand="0" w:firstRowFirstColumn="0" w:firstRowLastColumn="0" w:lastRowFirstColumn="0" w:lastRowLastColumn="0"/>
            <w:tcW w:w="1986" w:type="dxa"/>
            <w:tcBorders>
              <w:right w:val="single" w:sz="4" w:space="0" w:color="00A7FF" w:themeColor="accent5"/>
            </w:tcBorders>
          </w:tcPr>
          <w:p w14:paraId="5005E515" w14:textId="5B2F0F77" w:rsidR="00A021F1" w:rsidRPr="005714B9" w:rsidRDefault="00A021F1" w:rsidP="006B0B50">
            <w:pPr>
              <w:rPr>
                <w:sz w:val="22"/>
              </w:rPr>
            </w:pPr>
            <w:r w:rsidRPr="005714B9">
              <w:rPr>
                <w:sz w:val="22"/>
              </w:rPr>
              <w:lastRenderedPageBreak/>
              <w:t>4.2 Curriculum design and implementation is inclusive of people of different genders (including transgender people)</w:t>
            </w:r>
          </w:p>
        </w:tc>
        <w:tc>
          <w:tcPr>
            <w:tcW w:w="4961" w:type="dxa"/>
            <w:tcBorders>
              <w:left w:val="single" w:sz="4" w:space="0" w:color="00A7FF" w:themeColor="accent5"/>
              <w:right w:val="single" w:sz="4" w:space="0" w:color="00A7FF" w:themeColor="accent5"/>
            </w:tcBorders>
          </w:tcPr>
          <w:p w14:paraId="76E38322" w14:textId="77777777" w:rsidR="00A021F1" w:rsidRPr="005714B9" w:rsidRDefault="00A021F1" w:rsidP="00DA139B">
            <w:pPr>
              <w:pStyle w:val="ListParagraph"/>
              <w:numPr>
                <w:ilvl w:val="0"/>
                <w:numId w:val="62"/>
              </w:numPr>
              <w:cnfStyle w:val="000000000000" w:firstRow="0" w:lastRow="0" w:firstColumn="0" w:lastColumn="0" w:oddVBand="0" w:evenVBand="0" w:oddHBand="0" w:evenHBand="0" w:firstRowFirstColumn="0" w:firstRowLastColumn="0" w:lastRowFirstColumn="0" w:lastRowLastColumn="0"/>
              <w:rPr>
                <w:sz w:val="22"/>
              </w:rPr>
            </w:pPr>
            <w:r w:rsidRPr="005714B9">
              <w:rPr>
                <w:rFonts w:ascii="Open Sans" w:hAnsi="Open Sans" w:cs="Open Sans"/>
                <w:sz w:val="22"/>
              </w:rPr>
              <w:t>Curriculum planning and design is inclusive of people of different genders</w:t>
            </w:r>
          </w:p>
          <w:p w14:paraId="112A982E" w14:textId="06DD4B1A" w:rsidR="00A021F1" w:rsidRPr="005714B9" w:rsidRDefault="00A021F1" w:rsidP="00DA139B">
            <w:pPr>
              <w:pStyle w:val="ListParagraph"/>
              <w:numPr>
                <w:ilvl w:val="0"/>
                <w:numId w:val="62"/>
              </w:numPr>
              <w:cnfStyle w:val="000000000000" w:firstRow="0" w:lastRow="0" w:firstColumn="0" w:lastColumn="0" w:oddVBand="0" w:evenVBand="0" w:oddHBand="0" w:evenHBand="0" w:firstRowFirstColumn="0" w:firstRowLastColumn="0" w:lastRowFirstColumn="0" w:lastRowLastColumn="0"/>
              <w:rPr>
                <w:rFonts w:ascii="Open Sans" w:hAnsi="Open Sans" w:cs="Open Sans"/>
                <w:sz w:val="22"/>
              </w:rPr>
            </w:pPr>
            <w:r w:rsidRPr="005714B9">
              <w:rPr>
                <w:rFonts w:ascii="Open Sans" w:hAnsi="Open Sans" w:cs="Open Sans"/>
                <w:sz w:val="22"/>
              </w:rPr>
              <w:t>Teachers use resources and examples which people of different genders, which do not reinforce stereotypes</w:t>
            </w:r>
          </w:p>
          <w:p w14:paraId="2A1CD4AF" w14:textId="77777777" w:rsidR="00A021F1" w:rsidRPr="005714B9" w:rsidRDefault="00A021F1" w:rsidP="00DA139B">
            <w:pPr>
              <w:pStyle w:val="ListParagraph"/>
              <w:numPr>
                <w:ilvl w:val="0"/>
                <w:numId w:val="62"/>
              </w:numPr>
              <w:cnfStyle w:val="000000000000" w:firstRow="0" w:lastRow="0" w:firstColumn="0" w:lastColumn="0" w:oddVBand="0" w:evenVBand="0" w:oddHBand="0" w:evenHBand="0" w:firstRowFirstColumn="0" w:firstRowLastColumn="0" w:lastRowFirstColumn="0" w:lastRowLastColumn="0"/>
              <w:rPr>
                <w:rFonts w:ascii="Open Sans" w:hAnsi="Open Sans" w:cs="Open Sans"/>
                <w:sz w:val="22"/>
              </w:rPr>
            </w:pPr>
            <w:r w:rsidRPr="005714B9">
              <w:rPr>
                <w:rFonts w:ascii="Open Sans" w:hAnsi="Open Sans" w:cs="Open Sans"/>
                <w:sz w:val="22"/>
              </w:rPr>
              <w:t>The classroom environment is supportive and accommodating of gender non-conforming pupils</w:t>
            </w:r>
          </w:p>
          <w:p w14:paraId="2F180B5A" w14:textId="77777777" w:rsidR="00A021F1" w:rsidRPr="005714B9" w:rsidRDefault="00A021F1" w:rsidP="00DA139B">
            <w:pPr>
              <w:pStyle w:val="ListParagraph"/>
              <w:numPr>
                <w:ilvl w:val="0"/>
                <w:numId w:val="62"/>
              </w:numPr>
              <w:cnfStyle w:val="000000000000" w:firstRow="0" w:lastRow="0" w:firstColumn="0" w:lastColumn="0" w:oddVBand="0" w:evenVBand="0" w:oddHBand="0" w:evenHBand="0" w:firstRowFirstColumn="0" w:firstRowLastColumn="0" w:lastRowFirstColumn="0" w:lastRowLastColumn="0"/>
              <w:rPr>
                <w:rFonts w:ascii="Open Sans" w:hAnsi="Open Sans" w:cs="Open Sans"/>
                <w:sz w:val="22"/>
              </w:rPr>
            </w:pPr>
            <w:r w:rsidRPr="005714B9">
              <w:rPr>
                <w:rFonts w:ascii="Open Sans" w:hAnsi="Open Sans" w:cs="Open Sans"/>
                <w:sz w:val="22"/>
              </w:rPr>
              <w:t>Teachers use appropriate language when discussing issues around gender</w:t>
            </w:r>
          </w:p>
          <w:p w14:paraId="48784400" w14:textId="77777777" w:rsidR="00A021F1" w:rsidRPr="005714B9" w:rsidRDefault="00A021F1" w:rsidP="00DA139B">
            <w:pPr>
              <w:pStyle w:val="ListParagraph"/>
              <w:numPr>
                <w:ilvl w:val="0"/>
                <w:numId w:val="62"/>
              </w:numPr>
              <w:cnfStyle w:val="000000000000" w:firstRow="0" w:lastRow="0" w:firstColumn="0" w:lastColumn="0" w:oddVBand="0" w:evenVBand="0" w:oddHBand="0" w:evenHBand="0" w:firstRowFirstColumn="0" w:firstRowLastColumn="0" w:lastRowFirstColumn="0" w:lastRowLastColumn="0"/>
              <w:rPr>
                <w:rFonts w:ascii="Open Sans" w:hAnsi="Open Sans" w:cs="Open Sans"/>
                <w:sz w:val="22"/>
              </w:rPr>
            </w:pPr>
            <w:r w:rsidRPr="005714B9">
              <w:rPr>
                <w:rFonts w:ascii="Open Sans" w:hAnsi="Open Sans" w:cs="Open Sans"/>
                <w:sz w:val="22"/>
              </w:rPr>
              <w:t>Teachers are aware and respectful that pupils may experience their gender in different ways</w:t>
            </w:r>
          </w:p>
          <w:p w14:paraId="48D598B4" w14:textId="77777777" w:rsidR="00A021F1" w:rsidRPr="005714B9" w:rsidRDefault="00A021F1" w:rsidP="00DA139B">
            <w:pPr>
              <w:pStyle w:val="ListParagraph"/>
              <w:numPr>
                <w:ilvl w:val="0"/>
                <w:numId w:val="62"/>
              </w:numPr>
              <w:cnfStyle w:val="000000000000" w:firstRow="0" w:lastRow="0" w:firstColumn="0" w:lastColumn="0" w:oddVBand="0" w:evenVBand="0" w:oddHBand="0" w:evenHBand="0" w:firstRowFirstColumn="0" w:firstRowLastColumn="0" w:lastRowFirstColumn="0" w:lastRowLastColumn="0"/>
              <w:rPr>
                <w:sz w:val="22"/>
              </w:rPr>
            </w:pPr>
            <w:r w:rsidRPr="005714B9">
              <w:rPr>
                <w:rFonts w:ascii="Open Sans" w:hAnsi="Open Sans" w:cs="Open Sans"/>
                <w:sz w:val="22"/>
              </w:rPr>
              <w:t>Teachers use gender neutral language where applicable</w:t>
            </w:r>
          </w:p>
          <w:p w14:paraId="45501006" w14:textId="77777777" w:rsidR="00A021F1" w:rsidRPr="005714B9" w:rsidRDefault="00A021F1" w:rsidP="00DA139B">
            <w:pPr>
              <w:pStyle w:val="ListParagraph"/>
              <w:numPr>
                <w:ilvl w:val="0"/>
                <w:numId w:val="62"/>
              </w:numPr>
              <w:cnfStyle w:val="000000000000" w:firstRow="0" w:lastRow="0" w:firstColumn="0" w:lastColumn="0" w:oddVBand="0" w:evenVBand="0" w:oddHBand="0" w:evenHBand="0" w:firstRowFirstColumn="0" w:firstRowLastColumn="0" w:lastRowFirstColumn="0" w:lastRowLastColumn="0"/>
              <w:rPr>
                <w:rFonts w:ascii="Open Sans" w:hAnsi="Open Sans" w:cs="Open Sans"/>
                <w:sz w:val="22"/>
              </w:rPr>
            </w:pPr>
            <w:r w:rsidRPr="005714B9">
              <w:rPr>
                <w:rFonts w:ascii="Open Sans" w:hAnsi="Open Sans" w:cs="Open Sans"/>
                <w:sz w:val="22"/>
              </w:rPr>
              <w:t xml:space="preserve">Pupils and parents/carers feel that </w:t>
            </w:r>
            <w:r w:rsidRPr="005714B9">
              <w:rPr>
                <w:rFonts w:ascii="Open Sans" w:hAnsi="Open Sans" w:cs="Open Sans"/>
                <w:sz w:val="22"/>
              </w:rPr>
              <w:lastRenderedPageBreak/>
              <w:t>teaching and learning is inclusive of people of different genders</w:t>
            </w:r>
          </w:p>
          <w:p w14:paraId="0D323D5C" w14:textId="691AFDBC" w:rsidR="00A021F1" w:rsidRPr="005714B9" w:rsidRDefault="00A021F1" w:rsidP="006B0B50">
            <w:pPr>
              <w:pStyle w:val="ListParagraph"/>
              <w:numPr>
                <w:ilvl w:val="0"/>
                <w:numId w:val="62"/>
              </w:numPr>
              <w:cnfStyle w:val="000000000000" w:firstRow="0" w:lastRow="0" w:firstColumn="0" w:lastColumn="0" w:oddVBand="0" w:evenVBand="0" w:oddHBand="0" w:evenHBand="0" w:firstRowFirstColumn="0" w:firstRowLastColumn="0" w:lastRowFirstColumn="0" w:lastRowLastColumn="0"/>
              <w:rPr>
                <w:sz w:val="22"/>
              </w:rPr>
            </w:pPr>
            <w:r w:rsidRPr="005714B9">
              <w:rPr>
                <w:rFonts w:ascii="Open Sans" w:hAnsi="Open Sans" w:cs="Open Sans"/>
                <w:sz w:val="22"/>
              </w:rPr>
              <w:t>The curriculum is analysed for bias and prejudice against people of different genders and steps are taken to address issues where necessary</w:t>
            </w:r>
          </w:p>
        </w:tc>
        <w:tc>
          <w:tcPr>
            <w:tcW w:w="3969" w:type="dxa"/>
            <w:tcBorders>
              <w:left w:val="single" w:sz="4" w:space="0" w:color="00A7FF" w:themeColor="accent5"/>
              <w:right w:val="single" w:sz="4" w:space="0" w:color="00A7FF" w:themeColor="accent5"/>
            </w:tcBorders>
          </w:tcPr>
          <w:p w14:paraId="21D1F8C1" w14:textId="77777777" w:rsidR="00A021F1" w:rsidRPr="005714B9" w:rsidRDefault="00A021F1" w:rsidP="00B63223">
            <w:pPr>
              <w:pStyle w:val="ListParagraph"/>
              <w:ind w:left="360"/>
              <w:cnfStyle w:val="000000000000" w:firstRow="0" w:lastRow="0" w:firstColumn="0" w:lastColumn="0" w:oddVBand="0" w:evenVBand="0" w:oddHBand="0" w:evenHBand="0" w:firstRowFirstColumn="0" w:firstRowLastColumn="0" w:lastRowFirstColumn="0" w:lastRowLastColumn="0"/>
              <w:rPr>
                <w:rFonts w:ascii="Open Sans" w:hAnsi="Open Sans" w:cs="Open Sans"/>
                <w:sz w:val="22"/>
              </w:rPr>
            </w:pPr>
          </w:p>
        </w:tc>
        <w:tc>
          <w:tcPr>
            <w:tcW w:w="3685" w:type="dxa"/>
            <w:tcBorders>
              <w:left w:val="single" w:sz="4" w:space="0" w:color="00A7FF" w:themeColor="accent5"/>
            </w:tcBorders>
          </w:tcPr>
          <w:p w14:paraId="5D280C1E" w14:textId="361792B0" w:rsidR="00BA63B1" w:rsidRPr="00DA139B" w:rsidRDefault="00BA63B1" w:rsidP="00B63223">
            <w:pPr>
              <w:pStyle w:val="ListParagraph"/>
              <w:ind w:left="360"/>
              <w:cnfStyle w:val="000000000000" w:firstRow="0" w:lastRow="0" w:firstColumn="0" w:lastColumn="0" w:oddVBand="0" w:evenVBand="0" w:oddHBand="0" w:evenHBand="0" w:firstRowFirstColumn="0" w:firstRowLastColumn="0" w:lastRowFirstColumn="0" w:lastRowLastColumn="0"/>
              <w:rPr>
                <w:rFonts w:ascii="Open Sans" w:hAnsi="Open Sans" w:cs="Open Sans"/>
                <w:sz w:val="22"/>
              </w:rPr>
            </w:pPr>
          </w:p>
        </w:tc>
      </w:tr>
    </w:tbl>
    <w:p w14:paraId="15244C29" w14:textId="77777777" w:rsidR="004F390A" w:rsidRPr="006B0B50" w:rsidRDefault="004F390A" w:rsidP="00EA2A4F"/>
    <w:sectPr w:rsidR="004F390A" w:rsidRPr="006B0B50" w:rsidSect="0008331A">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BF14B" w14:textId="77777777" w:rsidR="0000586E" w:rsidRDefault="0000586E" w:rsidP="003334B2">
      <w:pPr>
        <w:spacing w:after="0" w:line="240" w:lineRule="auto"/>
      </w:pPr>
      <w:r>
        <w:separator/>
      </w:r>
    </w:p>
  </w:endnote>
  <w:endnote w:type="continuationSeparator" w:id="0">
    <w:p w14:paraId="3A40937E" w14:textId="77777777" w:rsidR="0000586E" w:rsidRDefault="0000586E" w:rsidP="0033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523668"/>
      <w:docPartObj>
        <w:docPartGallery w:val="Page Numbers (Bottom of Page)"/>
        <w:docPartUnique/>
      </w:docPartObj>
    </w:sdtPr>
    <w:sdtEndPr/>
    <w:sdtContent>
      <w:p w14:paraId="4CE37A4A" w14:textId="07AA7EB0" w:rsidR="0065316C" w:rsidRDefault="0000586E" w:rsidP="003334B2">
        <w:pPr>
          <w:pStyle w:val="Footer"/>
        </w:pPr>
        <w:hyperlink r:id="rId1" w:history="1">
          <w:r w:rsidR="0065316C" w:rsidRPr="00D70DED">
            <w:rPr>
              <w:rStyle w:val="Hyperlink"/>
            </w:rPr>
            <w:t>www.equalitiesaward.co.uk</w:t>
          </w:r>
        </w:hyperlink>
        <w:r w:rsidR="0065316C">
          <w:tab/>
        </w:r>
        <w:r w:rsidR="0065316C">
          <w:tab/>
        </w:r>
        <w:r w:rsidR="0065316C">
          <w:tab/>
          <w:t>Copyright: EqualiTeach C.I.C</w:t>
        </w:r>
        <w:r w:rsidR="0065316C">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A7668" w14:textId="77777777" w:rsidR="0000586E" w:rsidRDefault="0000586E" w:rsidP="003334B2">
      <w:pPr>
        <w:spacing w:after="0" w:line="240" w:lineRule="auto"/>
      </w:pPr>
      <w:r>
        <w:separator/>
      </w:r>
    </w:p>
  </w:footnote>
  <w:footnote w:type="continuationSeparator" w:id="0">
    <w:p w14:paraId="3C547E40" w14:textId="77777777" w:rsidR="0000586E" w:rsidRDefault="0000586E" w:rsidP="00333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0FAC" w14:textId="54B95A23" w:rsidR="0065316C" w:rsidRDefault="00B63223">
    <w:pPr>
      <w:pStyle w:val="Header"/>
    </w:pPr>
    <w:r>
      <w:rPr>
        <w:noProof/>
      </w:rPr>
      <w:drawing>
        <wp:anchor distT="0" distB="0" distL="114300" distR="114300" simplePos="0" relativeHeight="251663360" behindDoc="1" locked="0" layoutInCell="1" allowOverlap="1" wp14:anchorId="5BBBDE3F" wp14:editId="3C955408">
          <wp:simplePos x="0" y="0"/>
          <wp:positionH relativeFrom="column">
            <wp:posOffset>-371475</wp:posOffset>
          </wp:positionH>
          <wp:positionV relativeFrom="paragraph">
            <wp:posOffset>-259080</wp:posOffset>
          </wp:positionV>
          <wp:extent cx="1457325" cy="745258"/>
          <wp:effectExtent l="0" t="0" r="0" b="0"/>
          <wp:wrapTight wrapText="bothSides">
            <wp:wrapPolygon edited="0">
              <wp:start x="0" y="0"/>
              <wp:lineTo x="0" y="20992"/>
              <wp:lineTo x="3388" y="20992"/>
              <wp:lineTo x="4800" y="20992"/>
              <wp:lineTo x="21176" y="20992"/>
              <wp:lineTo x="21176" y="11601"/>
              <wp:lineTo x="15812" y="9391"/>
              <wp:lineTo x="5929" y="8839"/>
              <wp:lineTo x="7059" y="3867"/>
              <wp:lineTo x="536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745258"/>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14:anchorId="51BF634C" wp14:editId="22087277">
          <wp:simplePos x="0" y="0"/>
          <wp:positionH relativeFrom="margin">
            <wp:posOffset>7762875</wp:posOffset>
          </wp:positionH>
          <wp:positionV relativeFrom="paragraph">
            <wp:posOffset>-248285</wp:posOffset>
          </wp:positionV>
          <wp:extent cx="1800000" cy="6972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each 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697271"/>
                  </a:xfrm>
                  <a:prstGeom prst="rect">
                    <a:avLst/>
                  </a:prstGeom>
                </pic:spPr>
              </pic:pic>
            </a:graphicData>
          </a:graphic>
          <wp14:sizeRelH relativeFrom="page">
            <wp14:pctWidth>0</wp14:pctWidth>
          </wp14:sizeRelH>
          <wp14:sizeRelV relativeFrom="page">
            <wp14:pctHeight>0</wp14:pctHeight>
          </wp14:sizeRelV>
        </wp:anchor>
      </w:drawing>
    </w:r>
  </w:p>
  <w:p w14:paraId="70BE15F1" w14:textId="65C3D62A" w:rsidR="0065316C" w:rsidRDefault="00653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CFD"/>
    <w:multiLevelType w:val="hybridMultilevel"/>
    <w:tmpl w:val="5F04B088"/>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79287B"/>
    <w:multiLevelType w:val="hybridMultilevel"/>
    <w:tmpl w:val="68249572"/>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470BEC"/>
    <w:multiLevelType w:val="hybridMultilevel"/>
    <w:tmpl w:val="1A98B542"/>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AF45B3"/>
    <w:multiLevelType w:val="hybridMultilevel"/>
    <w:tmpl w:val="5DD0619C"/>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44069A"/>
    <w:multiLevelType w:val="hybridMultilevel"/>
    <w:tmpl w:val="F22E6084"/>
    <w:lvl w:ilvl="0" w:tplc="F28435C4">
      <w:start w:val="1"/>
      <w:numFmt w:val="bullet"/>
      <w:lvlText w:val=""/>
      <w:lvlJc w:val="left"/>
      <w:pPr>
        <w:ind w:left="720" w:hanging="360"/>
      </w:pPr>
      <w:rPr>
        <w:rFonts w:ascii="Wingdings" w:hAnsi="Wingdings" w:hint="default"/>
        <w:b/>
        <w:i w:val="0"/>
        <w:color w:val="6E3A97"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02A08"/>
    <w:multiLevelType w:val="hybridMultilevel"/>
    <w:tmpl w:val="34AAD37A"/>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965191"/>
    <w:multiLevelType w:val="hybridMultilevel"/>
    <w:tmpl w:val="9264AA7A"/>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D93020"/>
    <w:multiLevelType w:val="hybridMultilevel"/>
    <w:tmpl w:val="C8AC109E"/>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F0180C"/>
    <w:multiLevelType w:val="hybridMultilevel"/>
    <w:tmpl w:val="84B6BEEC"/>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6F78A1"/>
    <w:multiLevelType w:val="hybridMultilevel"/>
    <w:tmpl w:val="6AFA6EC8"/>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7C7178"/>
    <w:multiLevelType w:val="hybridMultilevel"/>
    <w:tmpl w:val="CE644B02"/>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FC14CC"/>
    <w:multiLevelType w:val="hybridMultilevel"/>
    <w:tmpl w:val="2BCED5F4"/>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C9287B"/>
    <w:multiLevelType w:val="hybridMultilevel"/>
    <w:tmpl w:val="870A2222"/>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DB6A05"/>
    <w:multiLevelType w:val="hybridMultilevel"/>
    <w:tmpl w:val="F442117C"/>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2D02F1"/>
    <w:multiLevelType w:val="hybridMultilevel"/>
    <w:tmpl w:val="F9DC34E2"/>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D46A05"/>
    <w:multiLevelType w:val="hybridMultilevel"/>
    <w:tmpl w:val="2A181DD4"/>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2E44DC"/>
    <w:multiLevelType w:val="hybridMultilevel"/>
    <w:tmpl w:val="764EECD2"/>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8431CF"/>
    <w:multiLevelType w:val="hybridMultilevel"/>
    <w:tmpl w:val="FE7EBEAC"/>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C8435B"/>
    <w:multiLevelType w:val="hybridMultilevel"/>
    <w:tmpl w:val="7E90B890"/>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875715"/>
    <w:multiLevelType w:val="hybridMultilevel"/>
    <w:tmpl w:val="C096CE28"/>
    <w:lvl w:ilvl="0" w:tplc="F28435C4">
      <w:start w:val="1"/>
      <w:numFmt w:val="bullet"/>
      <w:lvlText w:val=""/>
      <w:lvlJc w:val="left"/>
      <w:pPr>
        <w:ind w:left="360" w:hanging="360"/>
      </w:pPr>
      <w:rPr>
        <w:rFonts w:ascii="Wingdings" w:hAnsi="Wingdings" w:hint="default"/>
        <w:b/>
        <w:i w:val="0"/>
        <w:color w:val="6E3A97" w:themeColor="accent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6759A7"/>
    <w:multiLevelType w:val="hybridMultilevel"/>
    <w:tmpl w:val="25A6AC58"/>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7A349E"/>
    <w:multiLevelType w:val="hybridMultilevel"/>
    <w:tmpl w:val="D1A44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284837"/>
    <w:multiLevelType w:val="hybridMultilevel"/>
    <w:tmpl w:val="0C36B0EC"/>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5D4BEA"/>
    <w:multiLevelType w:val="hybridMultilevel"/>
    <w:tmpl w:val="AB80DEFA"/>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1A677E8"/>
    <w:multiLevelType w:val="hybridMultilevel"/>
    <w:tmpl w:val="632AA3AE"/>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4776957"/>
    <w:multiLevelType w:val="hybridMultilevel"/>
    <w:tmpl w:val="5B705D94"/>
    <w:lvl w:ilvl="0" w:tplc="F28435C4">
      <w:start w:val="1"/>
      <w:numFmt w:val="bullet"/>
      <w:lvlText w:val=""/>
      <w:lvlJc w:val="left"/>
      <w:pPr>
        <w:ind w:left="720" w:hanging="360"/>
      </w:pPr>
      <w:rPr>
        <w:rFonts w:ascii="Wingdings" w:hAnsi="Wingdings" w:hint="default"/>
        <w:b/>
        <w:i w:val="0"/>
        <w:color w:val="6E3A97"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1F70DA"/>
    <w:multiLevelType w:val="hybridMultilevel"/>
    <w:tmpl w:val="9AC4E4CA"/>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B782189"/>
    <w:multiLevelType w:val="hybridMultilevel"/>
    <w:tmpl w:val="3700866E"/>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2D46E3B"/>
    <w:multiLevelType w:val="hybridMultilevel"/>
    <w:tmpl w:val="A34AB876"/>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3E43AC9"/>
    <w:multiLevelType w:val="hybridMultilevel"/>
    <w:tmpl w:val="0CC4F576"/>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4E54AD4"/>
    <w:multiLevelType w:val="hybridMultilevel"/>
    <w:tmpl w:val="AD4A8270"/>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6173346"/>
    <w:multiLevelType w:val="hybridMultilevel"/>
    <w:tmpl w:val="6F8A80E0"/>
    <w:lvl w:ilvl="0" w:tplc="F28435C4">
      <w:start w:val="1"/>
      <w:numFmt w:val="bullet"/>
      <w:lvlText w:val=""/>
      <w:lvlJc w:val="left"/>
      <w:pPr>
        <w:ind w:left="720" w:hanging="360"/>
      </w:pPr>
      <w:rPr>
        <w:rFonts w:ascii="Wingdings" w:hAnsi="Wingdings" w:hint="default"/>
        <w:b/>
        <w:i w:val="0"/>
        <w:color w:val="6E3A97"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851E68"/>
    <w:multiLevelType w:val="hybridMultilevel"/>
    <w:tmpl w:val="0D40A136"/>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8C02368"/>
    <w:multiLevelType w:val="hybridMultilevel"/>
    <w:tmpl w:val="FB08154C"/>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C7A1CA8"/>
    <w:multiLevelType w:val="hybridMultilevel"/>
    <w:tmpl w:val="05CEECB2"/>
    <w:lvl w:ilvl="0" w:tplc="F28435C4">
      <w:start w:val="1"/>
      <w:numFmt w:val="bullet"/>
      <w:lvlText w:val=""/>
      <w:lvlJc w:val="left"/>
      <w:pPr>
        <w:ind w:left="720" w:hanging="360"/>
      </w:pPr>
      <w:rPr>
        <w:rFonts w:ascii="Wingdings" w:hAnsi="Wingdings" w:hint="default"/>
        <w:b/>
        <w:i w:val="0"/>
        <w:color w:val="6E3A97"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D121B0"/>
    <w:multiLevelType w:val="hybridMultilevel"/>
    <w:tmpl w:val="0F1E4F94"/>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59D3F59"/>
    <w:multiLevelType w:val="hybridMultilevel"/>
    <w:tmpl w:val="F8E29FB8"/>
    <w:lvl w:ilvl="0" w:tplc="F28435C4">
      <w:start w:val="1"/>
      <w:numFmt w:val="bullet"/>
      <w:lvlText w:val=""/>
      <w:lvlJc w:val="left"/>
      <w:pPr>
        <w:ind w:left="720" w:hanging="360"/>
      </w:pPr>
      <w:rPr>
        <w:rFonts w:ascii="Wingdings" w:hAnsi="Wingdings" w:hint="default"/>
        <w:b/>
        <w:i w:val="0"/>
        <w:color w:val="6E3A97"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677699"/>
    <w:multiLevelType w:val="hybridMultilevel"/>
    <w:tmpl w:val="7C6238B2"/>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6746CE6"/>
    <w:multiLevelType w:val="hybridMultilevel"/>
    <w:tmpl w:val="6A68A850"/>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A0E0AA6"/>
    <w:multiLevelType w:val="hybridMultilevel"/>
    <w:tmpl w:val="841832BC"/>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B61660D"/>
    <w:multiLevelType w:val="hybridMultilevel"/>
    <w:tmpl w:val="46825F9C"/>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BEF2353"/>
    <w:multiLevelType w:val="hybridMultilevel"/>
    <w:tmpl w:val="B582F42C"/>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DCE5F1E"/>
    <w:multiLevelType w:val="hybridMultilevel"/>
    <w:tmpl w:val="B4360F2C"/>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1067480"/>
    <w:multiLevelType w:val="hybridMultilevel"/>
    <w:tmpl w:val="32A667CE"/>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1AF54E7"/>
    <w:multiLevelType w:val="hybridMultilevel"/>
    <w:tmpl w:val="E5F6D392"/>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50F2D37"/>
    <w:multiLevelType w:val="hybridMultilevel"/>
    <w:tmpl w:val="9976B146"/>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5DD159F"/>
    <w:multiLevelType w:val="hybridMultilevel"/>
    <w:tmpl w:val="B3AEB324"/>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B322225"/>
    <w:multiLevelType w:val="hybridMultilevel"/>
    <w:tmpl w:val="4BBA95BA"/>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C4F7279"/>
    <w:multiLevelType w:val="hybridMultilevel"/>
    <w:tmpl w:val="9BC66510"/>
    <w:lvl w:ilvl="0" w:tplc="F28435C4">
      <w:start w:val="1"/>
      <w:numFmt w:val="bullet"/>
      <w:lvlText w:val=""/>
      <w:lvlJc w:val="left"/>
      <w:pPr>
        <w:ind w:left="720" w:hanging="360"/>
      </w:pPr>
      <w:rPr>
        <w:rFonts w:ascii="Wingdings" w:hAnsi="Wingdings" w:hint="default"/>
        <w:b/>
        <w:i w:val="0"/>
        <w:color w:val="6E3A97"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5C3E49"/>
    <w:multiLevelType w:val="hybridMultilevel"/>
    <w:tmpl w:val="135C180C"/>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E627D8F"/>
    <w:multiLevelType w:val="hybridMultilevel"/>
    <w:tmpl w:val="4B1E3340"/>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01D69AF"/>
    <w:multiLevelType w:val="hybridMultilevel"/>
    <w:tmpl w:val="793C4E52"/>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12147EC"/>
    <w:multiLevelType w:val="hybridMultilevel"/>
    <w:tmpl w:val="E2CE7D2A"/>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17E3C7A"/>
    <w:multiLevelType w:val="hybridMultilevel"/>
    <w:tmpl w:val="857EC98A"/>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3D21E2A"/>
    <w:multiLevelType w:val="hybridMultilevel"/>
    <w:tmpl w:val="ED9AD5B4"/>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4ED7869"/>
    <w:multiLevelType w:val="hybridMultilevel"/>
    <w:tmpl w:val="6110FD8A"/>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7A84BCE"/>
    <w:multiLevelType w:val="hybridMultilevel"/>
    <w:tmpl w:val="E11ECA6C"/>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7C45EB3"/>
    <w:multiLevelType w:val="hybridMultilevel"/>
    <w:tmpl w:val="C60664A0"/>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C355C7F"/>
    <w:multiLevelType w:val="hybridMultilevel"/>
    <w:tmpl w:val="68A04C10"/>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C4118B6"/>
    <w:multiLevelType w:val="hybridMultilevel"/>
    <w:tmpl w:val="5F3CFF1E"/>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D073E60"/>
    <w:multiLevelType w:val="hybridMultilevel"/>
    <w:tmpl w:val="3C46BD04"/>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D3E7816"/>
    <w:multiLevelType w:val="hybridMultilevel"/>
    <w:tmpl w:val="D2ACCE62"/>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F842E05"/>
    <w:multiLevelType w:val="hybridMultilevel"/>
    <w:tmpl w:val="57805F7A"/>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FEC4DA8"/>
    <w:multiLevelType w:val="hybridMultilevel"/>
    <w:tmpl w:val="EDEC3582"/>
    <w:lvl w:ilvl="0" w:tplc="F28435C4">
      <w:start w:val="1"/>
      <w:numFmt w:val="bullet"/>
      <w:lvlText w:val=""/>
      <w:lvlJc w:val="left"/>
      <w:pPr>
        <w:ind w:left="360" w:hanging="360"/>
      </w:pPr>
      <w:rPr>
        <w:rFonts w:ascii="Wingdings" w:hAnsi="Wingdings" w:hint="default"/>
        <w:b/>
        <w:i w:val="0"/>
        <w:color w:val="6E3A97"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56"/>
  </w:num>
  <w:num w:numId="3">
    <w:abstractNumId w:val="17"/>
  </w:num>
  <w:num w:numId="4">
    <w:abstractNumId w:val="32"/>
  </w:num>
  <w:num w:numId="5">
    <w:abstractNumId w:val="52"/>
  </w:num>
  <w:num w:numId="6">
    <w:abstractNumId w:val="41"/>
  </w:num>
  <w:num w:numId="7">
    <w:abstractNumId w:val="6"/>
  </w:num>
  <w:num w:numId="8">
    <w:abstractNumId w:val="49"/>
  </w:num>
  <w:num w:numId="9">
    <w:abstractNumId w:val="8"/>
  </w:num>
  <w:num w:numId="10">
    <w:abstractNumId w:val="18"/>
  </w:num>
  <w:num w:numId="11">
    <w:abstractNumId w:val="24"/>
  </w:num>
  <w:num w:numId="12">
    <w:abstractNumId w:val="15"/>
  </w:num>
  <w:num w:numId="13">
    <w:abstractNumId w:val="12"/>
  </w:num>
  <w:num w:numId="14">
    <w:abstractNumId w:val="47"/>
  </w:num>
  <w:num w:numId="15">
    <w:abstractNumId w:val="25"/>
  </w:num>
  <w:num w:numId="16">
    <w:abstractNumId w:val="48"/>
  </w:num>
  <w:num w:numId="17">
    <w:abstractNumId w:val="3"/>
  </w:num>
  <w:num w:numId="18">
    <w:abstractNumId w:val="57"/>
  </w:num>
  <w:num w:numId="19">
    <w:abstractNumId w:val="28"/>
  </w:num>
  <w:num w:numId="20">
    <w:abstractNumId w:val="40"/>
  </w:num>
  <w:num w:numId="21">
    <w:abstractNumId w:val="11"/>
  </w:num>
  <w:num w:numId="22">
    <w:abstractNumId w:val="36"/>
  </w:num>
  <w:num w:numId="23">
    <w:abstractNumId w:val="23"/>
  </w:num>
  <w:num w:numId="24">
    <w:abstractNumId w:val="60"/>
  </w:num>
  <w:num w:numId="25">
    <w:abstractNumId w:val="7"/>
  </w:num>
  <w:num w:numId="26">
    <w:abstractNumId w:val="53"/>
  </w:num>
  <w:num w:numId="27">
    <w:abstractNumId w:val="29"/>
  </w:num>
  <w:num w:numId="28">
    <w:abstractNumId w:val="43"/>
  </w:num>
  <w:num w:numId="29">
    <w:abstractNumId w:val="1"/>
  </w:num>
  <w:num w:numId="30">
    <w:abstractNumId w:val="37"/>
  </w:num>
  <w:num w:numId="31">
    <w:abstractNumId w:val="34"/>
  </w:num>
  <w:num w:numId="32">
    <w:abstractNumId w:val="63"/>
  </w:num>
  <w:num w:numId="33">
    <w:abstractNumId w:val="19"/>
  </w:num>
  <w:num w:numId="34">
    <w:abstractNumId w:val="33"/>
  </w:num>
  <w:num w:numId="35">
    <w:abstractNumId w:val="4"/>
  </w:num>
  <w:num w:numId="36">
    <w:abstractNumId w:val="31"/>
  </w:num>
  <w:num w:numId="37">
    <w:abstractNumId w:val="27"/>
  </w:num>
  <w:num w:numId="38">
    <w:abstractNumId w:val="50"/>
  </w:num>
  <w:num w:numId="39">
    <w:abstractNumId w:val="22"/>
  </w:num>
  <w:num w:numId="40">
    <w:abstractNumId w:val="10"/>
  </w:num>
  <w:num w:numId="41">
    <w:abstractNumId w:val="55"/>
  </w:num>
  <w:num w:numId="42">
    <w:abstractNumId w:val="44"/>
  </w:num>
  <w:num w:numId="43">
    <w:abstractNumId w:val="45"/>
  </w:num>
  <w:num w:numId="44">
    <w:abstractNumId w:val="14"/>
  </w:num>
  <w:num w:numId="45">
    <w:abstractNumId w:val="5"/>
  </w:num>
  <w:num w:numId="46">
    <w:abstractNumId w:val="39"/>
  </w:num>
  <w:num w:numId="47">
    <w:abstractNumId w:val="59"/>
  </w:num>
  <w:num w:numId="48">
    <w:abstractNumId w:val="26"/>
  </w:num>
  <w:num w:numId="49">
    <w:abstractNumId w:val="51"/>
  </w:num>
  <w:num w:numId="50">
    <w:abstractNumId w:val="61"/>
  </w:num>
  <w:num w:numId="51">
    <w:abstractNumId w:val="2"/>
  </w:num>
  <w:num w:numId="52">
    <w:abstractNumId w:val="54"/>
  </w:num>
  <w:num w:numId="53">
    <w:abstractNumId w:val="13"/>
  </w:num>
  <w:num w:numId="54">
    <w:abstractNumId w:val="35"/>
  </w:num>
  <w:num w:numId="55">
    <w:abstractNumId w:val="16"/>
  </w:num>
  <w:num w:numId="56">
    <w:abstractNumId w:val="20"/>
  </w:num>
  <w:num w:numId="57">
    <w:abstractNumId w:val="42"/>
  </w:num>
  <w:num w:numId="58">
    <w:abstractNumId w:val="0"/>
  </w:num>
  <w:num w:numId="59">
    <w:abstractNumId w:val="46"/>
  </w:num>
  <w:num w:numId="60">
    <w:abstractNumId w:val="38"/>
  </w:num>
  <w:num w:numId="61">
    <w:abstractNumId w:val="30"/>
  </w:num>
  <w:num w:numId="62">
    <w:abstractNumId w:val="58"/>
  </w:num>
  <w:num w:numId="63">
    <w:abstractNumId w:val="62"/>
  </w:num>
  <w:num w:numId="64">
    <w:abstractNumId w:val="2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51F"/>
    <w:rsid w:val="0000518B"/>
    <w:rsid w:val="0000586E"/>
    <w:rsid w:val="00030C89"/>
    <w:rsid w:val="00034B22"/>
    <w:rsid w:val="00052E4B"/>
    <w:rsid w:val="00062C8D"/>
    <w:rsid w:val="00080D94"/>
    <w:rsid w:val="0008331A"/>
    <w:rsid w:val="000A37CA"/>
    <w:rsid w:val="000B1B5C"/>
    <w:rsid w:val="000B4232"/>
    <w:rsid w:val="000B4F09"/>
    <w:rsid w:val="000E60C0"/>
    <w:rsid w:val="00102CFE"/>
    <w:rsid w:val="00112475"/>
    <w:rsid w:val="00142D6A"/>
    <w:rsid w:val="0014762A"/>
    <w:rsid w:val="00162D88"/>
    <w:rsid w:val="00180569"/>
    <w:rsid w:val="00186278"/>
    <w:rsid w:val="0019694D"/>
    <w:rsid w:val="001A480B"/>
    <w:rsid w:val="001B1951"/>
    <w:rsid w:val="001C13B9"/>
    <w:rsid w:val="001E6F0B"/>
    <w:rsid w:val="001F70E6"/>
    <w:rsid w:val="00237486"/>
    <w:rsid w:val="002407C4"/>
    <w:rsid w:val="00254986"/>
    <w:rsid w:val="00255C5B"/>
    <w:rsid w:val="00296E29"/>
    <w:rsid w:val="002A5409"/>
    <w:rsid w:val="002B2A3C"/>
    <w:rsid w:val="002B643D"/>
    <w:rsid w:val="002D3EF1"/>
    <w:rsid w:val="002D7708"/>
    <w:rsid w:val="002E5D42"/>
    <w:rsid w:val="002E7A71"/>
    <w:rsid w:val="002F600D"/>
    <w:rsid w:val="003334B2"/>
    <w:rsid w:val="003449EF"/>
    <w:rsid w:val="00344D0B"/>
    <w:rsid w:val="003527E5"/>
    <w:rsid w:val="00390D9B"/>
    <w:rsid w:val="003A1424"/>
    <w:rsid w:val="004051DB"/>
    <w:rsid w:val="004557CB"/>
    <w:rsid w:val="00465EFA"/>
    <w:rsid w:val="004842A1"/>
    <w:rsid w:val="00493B00"/>
    <w:rsid w:val="004B3055"/>
    <w:rsid w:val="004D5C1B"/>
    <w:rsid w:val="004E51F7"/>
    <w:rsid w:val="004F390A"/>
    <w:rsid w:val="00511971"/>
    <w:rsid w:val="00515331"/>
    <w:rsid w:val="005178E1"/>
    <w:rsid w:val="0052207E"/>
    <w:rsid w:val="005234F1"/>
    <w:rsid w:val="005714B9"/>
    <w:rsid w:val="00583C16"/>
    <w:rsid w:val="00597458"/>
    <w:rsid w:val="00597627"/>
    <w:rsid w:val="005C6A43"/>
    <w:rsid w:val="005D5389"/>
    <w:rsid w:val="005F42C6"/>
    <w:rsid w:val="0060451B"/>
    <w:rsid w:val="00615513"/>
    <w:rsid w:val="006267E2"/>
    <w:rsid w:val="0065316C"/>
    <w:rsid w:val="00670ADE"/>
    <w:rsid w:val="0069296E"/>
    <w:rsid w:val="006B0B50"/>
    <w:rsid w:val="006B160D"/>
    <w:rsid w:val="006C16EB"/>
    <w:rsid w:val="0071039A"/>
    <w:rsid w:val="007122B8"/>
    <w:rsid w:val="007369F6"/>
    <w:rsid w:val="00751299"/>
    <w:rsid w:val="00762069"/>
    <w:rsid w:val="00763C07"/>
    <w:rsid w:val="007D3687"/>
    <w:rsid w:val="007E7B6D"/>
    <w:rsid w:val="007F7A88"/>
    <w:rsid w:val="00801D98"/>
    <w:rsid w:val="008049CA"/>
    <w:rsid w:val="0081559C"/>
    <w:rsid w:val="00822215"/>
    <w:rsid w:val="00861A0F"/>
    <w:rsid w:val="008857EB"/>
    <w:rsid w:val="00887038"/>
    <w:rsid w:val="008A5E6F"/>
    <w:rsid w:val="008D6BCD"/>
    <w:rsid w:val="008E7A98"/>
    <w:rsid w:val="00905BF2"/>
    <w:rsid w:val="009149D4"/>
    <w:rsid w:val="00932479"/>
    <w:rsid w:val="00952E3A"/>
    <w:rsid w:val="00965191"/>
    <w:rsid w:val="009937B3"/>
    <w:rsid w:val="009A3A6E"/>
    <w:rsid w:val="009A5122"/>
    <w:rsid w:val="009D1394"/>
    <w:rsid w:val="009D14A0"/>
    <w:rsid w:val="009E4DD1"/>
    <w:rsid w:val="009F5C90"/>
    <w:rsid w:val="00A00AD0"/>
    <w:rsid w:val="00A021F1"/>
    <w:rsid w:val="00A04767"/>
    <w:rsid w:val="00A1002D"/>
    <w:rsid w:val="00A14F27"/>
    <w:rsid w:val="00A42B3B"/>
    <w:rsid w:val="00A506B1"/>
    <w:rsid w:val="00A74861"/>
    <w:rsid w:val="00A83BFF"/>
    <w:rsid w:val="00AC48E3"/>
    <w:rsid w:val="00AD17A7"/>
    <w:rsid w:val="00AE2731"/>
    <w:rsid w:val="00AF24A8"/>
    <w:rsid w:val="00AF461C"/>
    <w:rsid w:val="00B174E7"/>
    <w:rsid w:val="00B23C66"/>
    <w:rsid w:val="00B5351F"/>
    <w:rsid w:val="00B60049"/>
    <w:rsid w:val="00B62622"/>
    <w:rsid w:val="00B63223"/>
    <w:rsid w:val="00BA63B1"/>
    <w:rsid w:val="00BB240B"/>
    <w:rsid w:val="00BB70ED"/>
    <w:rsid w:val="00BD214C"/>
    <w:rsid w:val="00BF7E26"/>
    <w:rsid w:val="00C077A2"/>
    <w:rsid w:val="00C6525E"/>
    <w:rsid w:val="00CB34D8"/>
    <w:rsid w:val="00CF56F0"/>
    <w:rsid w:val="00D57BC6"/>
    <w:rsid w:val="00D776D7"/>
    <w:rsid w:val="00D9025F"/>
    <w:rsid w:val="00D95CAF"/>
    <w:rsid w:val="00DA139B"/>
    <w:rsid w:val="00DC0FBD"/>
    <w:rsid w:val="00DD5FA1"/>
    <w:rsid w:val="00E046C6"/>
    <w:rsid w:val="00E33415"/>
    <w:rsid w:val="00E3564B"/>
    <w:rsid w:val="00E46538"/>
    <w:rsid w:val="00E52F4D"/>
    <w:rsid w:val="00E63308"/>
    <w:rsid w:val="00E97CEA"/>
    <w:rsid w:val="00EA22AB"/>
    <w:rsid w:val="00EA2A4F"/>
    <w:rsid w:val="00EF1BE4"/>
    <w:rsid w:val="00EF7AC3"/>
    <w:rsid w:val="00F077D0"/>
    <w:rsid w:val="00F14CA1"/>
    <w:rsid w:val="00F241E3"/>
    <w:rsid w:val="00F843F1"/>
    <w:rsid w:val="00F926BD"/>
    <w:rsid w:val="00F94306"/>
    <w:rsid w:val="00F97CF1"/>
    <w:rsid w:val="00FE4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32753"/>
  <w15:docId w15:val="{9ECE686C-E717-4024-8C91-B578D1D6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E29"/>
    <w:rPr>
      <w:sz w:val="24"/>
    </w:rPr>
  </w:style>
  <w:style w:type="paragraph" w:styleId="Heading1">
    <w:name w:val="heading 1"/>
    <w:basedOn w:val="Normal"/>
    <w:next w:val="Normal"/>
    <w:link w:val="Heading1Char"/>
    <w:uiPriority w:val="9"/>
    <w:qFormat/>
    <w:rsid w:val="00296E29"/>
    <w:pPr>
      <w:spacing w:before="480" w:after="0"/>
      <w:contextualSpacing/>
      <w:outlineLvl w:val="0"/>
    </w:pPr>
    <w:rPr>
      <w:rFonts w:asciiTheme="majorHAnsi" w:eastAsiaTheme="majorEastAsia" w:hAnsiTheme="majorHAnsi" w:cstheme="majorBidi"/>
      <w:bCs/>
      <w:sz w:val="40"/>
      <w:szCs w:val="28"/>
    </w:rPr>
  </w:style>
  <w:style w:type="paragraph" w:styleId="Heading2">
    <w:name w:val="heading 2"/>
    <w:basedOn w:val="Normal"/>
    <w:next w:val="Normal"/>
    <w:link w:val="Heading2Char"/>
    <w:uiPriority w:val="9"/>
    <w:unhideWhenUsed/>
    <w:qFormat/>
    <w:rsid w:val="00296E29"/>
    <w:pPr>
      <w:spacing w:before="200" w:after="0"/>
      <w:outlineLvl w:val="1"/>
    </w:pPr>
    <w:rPr>
      <w:rFonts w:asciiTheme="majorHAnsi" w:eastAsiaTheme="majorEastAsia" w:hAnsiTheme="majorHAnsi" w:cstheme="majorBidi"/>
      <w:bCs/>
      <w:sz w:val="32"/>
      <w:szCs w:val="26"/>
    </w:rPr>
  </w:style>
  <w:style w:type="paragraph" w:styleId="Heading3">
    <w:name w:val="heading 3"/>
    <w:basedOn w:val="Normal"/>
    <w:next w:val="Normal"/>
    <w:link w:val="Heading3Char"/>
    <w:uiPriority w:val="9"/>
    <w:unhideWhenUsed/>
    <w:qFormat/>
    <w:rsid w:val="00296E29"/>
    <w:pPr>
      <w:spacing w:before="200" w:after="0" w:line="271" w:lineRule="auto"/>
      <w:outlineLvl w:val="2"/>
    </w:pPr>
    <w:rPr>
      <w:rFonts w:asciiTheme="majorHAnsi" w:eastAsiaTheme="majorEastAsia" w:hAnsiTheme="majorHAnsi"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E29"/>
    <w:rPr>
      <w:rFonts w:asciiTheme="majorHAnsi" w:eastAsiaTheme="majorEastAsia" w:hAnsiTheme="majorHAnsi" w:cstheme="majorBidi"/>
      <w:bCs/>
      <w:sz w:val="40"/>
      <w:szCs w:val="28"/>
    </w:rPr>
  </w:style>
  <w:style w:type="character" w:customStyle="1" w:styleId="Heading2Char">
    <w:name w:val="Heading 2 Char"/>
    <w:basedOn w:val="DefaultParagraphFont"/>
    <w:link w:val="Heading2"/>
    <w:uiPriority w:val="9"/>
    <w:rsid w:val="00296E29"/>
    <w:rPr>
      <w:rFonts w:asciiTheme="majorHAnsi" w:eastAsiaTheme="majorEastAsia" w:hAnsiTheme="majorHAnsi" w:cstheme="majorBidi"/>
      <w:bCs/>
      <w:sz w:val="32"/>
      <w:szCs w:val="26"/>
    </w:rPr>
  </w:style>
  <w:style w:type="character" w:customStyle="1" w:styleId="Heading3Char">
    <w:name w:val="Heading 3 Char"/>
    <w:basedOn w:val="DefaultParagraphFont"/>
    <w:link w:val="Heading3"/>
    <w:uiPriority w:val="9"/>
    <w:rsid w:val="00296E29"/>
    <w:rPr>
      <w:rFonts w:asciiTheme="majorHAnsi" w:eastAsiaTheme="majorEastAsia" w:hAnsiTheme="majorHAnsi" w:cstheme="majorBidi"/>
      <w:b/>
      <w:bCs/>
    </w:rPr>
  </w:style>
  <w:style w:type="paragraph" w:styleId="Header">
    <w:name w:val="header"/>
    <w:basedOn w:val="Normal"/>
    <w:link w:val="HeaderChar"/>
    <w:uiPriority w:val="99"/>
    <w:unhideWhenUsed/>
    <w:rsid w:val="00333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4B2"/>
    <w:rPr>
      <w:sz w:val="24"/>
    </w:rPr>
  </w:style>
  <w:style w:type="paragraph" w:styleId="Footer">
    <w:name w:val="footer"/>
    <w:basedOn w:val="Normal"/>
    <w:link w:val="FooterChar"/>
    <w:uiPriority w:val="99"/>
    <w:unhideWhenUsed/>
    <w:rsid w:val="00333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4B2"/>
    <w:rPr>
      <w:sz w:val="24"/>
    </w:rPr>
  </w:style>
  <w:style w:type="paragraph" w:styleId="BalloonText">
    <w:name w:val="Balloon Text"/>
    <w:basedOn w:val="Normal"/>
    <w:link w:val="BalloonTextChar"/>
    <w:uiPriority w:val="99"/>
    <w:semiHidden/>
    <w:unhideWhenUsed/>
    <w:rsid w:val="00333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4B2"/>
    <w:rPr>
      <w:rFonts w:ascii="Tahoma" w:hAnsi="Tahoma" w:cs="Tahoma"/>
      <w:sz w:val="16"/>
      <w:szCs w:val="16"/>
    </w:rPr>
  </w:style>
  <w:style w:type="character" w:styleId="Hyperlink">
    <w:name w:val="Hyperlink"/>
    <w:basedOn w:val="DefaultParagraphFont"/>
    <w:uiPriority w:val="99"/>
    <w:unhideWhenUsed/>
    <w:rsid w:val="003334B2"/>
    <w:rPr>
      <w:color w:val="00A7FF" w:themeColor="hyperlink"/>
      <w:u w:val="single"/>
    </w:rPr>
  </w:style>
  <w:style w:type="paragraph" w:styleId="ListParagraph">
    <w:name w:val="List Paragraph"/>
    <w:basedOn w:val="Normal"/>
    <w:uiPriority w:val="34"/>
    <w:rsid w:val="006C16EB"/>
    <w:pPr>
      <w:ind w:left="720"/>
      <w:contextualSpacing/>
    </w:pPr>
  </w:style>
  <w:style w:type="table" w:styleId="TableGrid">
    <w:name w:val="Table Grid"/>
    <w:basedOn w:val="TableNormal"/>
    <w:uiPriority w:val="59"/>
    <w:rsid w:val="00102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5122"/>
    <w:rPr>
      <w:sz w:val="16"/>
      <w:szCs w:val="16"/>
    </w:rPr>
  </w:style>
  <w:style w:type="paragraph" w:styleId="CommentText">
    <w:name w:val="annotation text"/>
    <w:basedOn w:val="Normal"/>
    <w:link w:val="CommentTextChar"/>
    <w:uiPriority w:val="99"/>
    <w:semiHidden/>
    <w:unhideWhenUsed/>
    <w:rsid w:val="009A5122"/>
    <w:pPr>
      <w:spacing w:line="240" w:lineRule="auto"/>
    </w:pPr>
    <w:rPr>
      <w:sz w:val="20"/>
      <w:szCs w:val="20"/>
    </w:rPr>
  </w:style>
  <w:style w:type="character" w:customStyle="1" w:styleId="CommentTextChar">
    <w:name w:val="Comment Text Char"/>
    <w:basedOn w:val="DefaultParagraphFont"/>
    <w:link w:val="CommentText"/>
    <w:uiPriority w:val="99"/>
    <w:semiHidden/>
    <w:rsid w:val="009A5122"/>
    <w:rPr>
      <w:sz w:val="20"/>
      <w:szCs w:val="20"/>
    </w:rPr>
  </w:style>
  <w:style w:type="paragraph" w:styleId="CommentSubject">
    <w:name w:val="annotation subject"/>
    <w:basedOn w:val="CommentText"/>
    <w:next w:val="CommentText"/>
    <w:link w:val="CommentSubjectChar"/>
    <w:uiPriority w:val="99"/>
    <w:semiHidden/>
    <w:unhideWhenUsed/>
    <w:rsid w:val="009A5122"/>
    <w:rPr>
      <w:b/>
      <w:bCs/>
    </w:rPr>
  </w:style>
  <w:style w:type="character" w:customStyle="1" w:styleId="CommentSubjectChar">
    <w:name w:val="Comment Subject Char"/>
    <w:basedOn w:val="CommentTextChar"/>
    <w:link w:val="CommentSubject"/>
    <w:uiPriority w:val="99"/>
    <w:semiHidden/>
    <w:rsid w:val="009A5122"/>
    <w:rPr>
      <w:b/>
      <w:bCs/>
      <w:sz w:val="20"/>
      <w:szCs w:val="20"/>
    </w:rPr>
  </w:style>
  <w:style w:type="character" w:customStyle="1" w:styleId="UnresolvedMention1">
    <w:name w:val="Unresolved Mention1"/>
    <w:basedOn w:val="DefaultParagraphFont"/>
    <w:uiPriority w:val="99"/>
    <w:semiHidden/>
    <w:unhideWhenUsed/>
    <w:rsid w:val="008857EB"/>
    <w:rPr>
      <w:color w:val="605E5C"/>
      <w:shd w:val="clear" w:color="auto" w:fill="E1DFDD"/>
    </w:rPr>
  </w:style>
  <w:style w:type="table" w:customStyle="1" w:styleId="ListTable3-Accent21">
    <w:name w:val="List Table 3 - Accent 21"/>
    <w:basedOn w:val="TableNormal"/>
    <w:uiPriority w:val="48"/>
    <w:rsid w:val="0008331A"/>
    <w:pPr>
      <w:spacing w:after="0" w:line="240" w:lineRule="auto"/>
    </w:pPr>
    <w:tblPr>
      <w:tblStyleRowBandSize w:val="1"/>
      <w:tblStyleColBandSize w:val="1"/>
      <w:tblBorders>
        <w:top w:val="single" w:sz="4" w:space="0" w:color="66BD46" w:themeColor="accent2"/>
        <w:left w:val="single" w:sz="4" w:space="0" w:color="66BD46" w:themeColor="accent2"/>
        <w:bottom w:val="single" w:sz="4" w:space="0" w:color="66BD46" w:themeColor="accent2"/>
        <w:right w:val="single" w:sz="4" w:space="0" w:color="66BD46" w:themeColor="accent2"/>
      </w:tblBorders>
    </w:tblPr>
    <w:tblStylePr w:type="firstRow">
      <w:rPr>
        <w:b/>
        <w:bCs/>
        <w:color w:val="FFFFFF" w:themeColor="background1"/>
      </w:rPr>
      <w:tblPr/>
      <w:tcPr>
        <w:shd w:val="clear" w:color="auto" w:fill="66BD46" w:themeFill="accent2"/>
      </w:tcPr>
    </w:tblStylePr>
    <w:tblStylePr w:type="lastRow">
      <w:rPr>
        <w:b/>
        <w:bCs/>
      </w:rPr>
      <w:tblPr/>
      <w:tcPr>
        <w:tcBorders>
          <w:top w:val="double" w:sz="4" w:space="0" w:color="66BD4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BD46" w:themeColor="accent2"/>
          <w:right w:val="single" w:sz="4" w:space="0" w:color="66BD46" w:themeColor="accent2"/>
        </w:tcBorders>
      </w:tcPr>
    </w:tblStylePr>
    <w:tblStylePr w:type="band1Horz">
      <w:tblPr/>
      <w:tcPr>
        <w:tcBorders>
          <w:top w:val="single" w:sz="4" w:space="0" w:color="66BD46" w:themeColor="accent2"/>
          <w:bottom w:val="single" w:sz="4" w:space="0" w:color="66BD4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BD46" w:themeColor="accent2"/>
          <w:left w:val="nil"/>
        </w:tcBorders>
      </w:tcPr>
    </w:tblStylePr>
    <w:tblStylePr w:type="swCell">
      <w:tblPr/>
      <w:tcPr>
        <w:tcBorders>
          <w:top w:val="double" w:sz="4" w:space="0" w:color="66BD46" w:themeColor="accent2"/>
          <w:right w:val="nil"/>
        </w:tcBorders>
      </w:tcPr>
    </w:tblStylePr>
  </w:style>
  <w:style w:type="table" w:customStyle="1" w:styleId="ListTable3-Accent11">
    <w:name w:val="List Table 3 - Accent 11"/>
    <w:basedOn w:val="TableNormal"/>
    <w:uiPriority w:val="48"/>
    <w:rsid w:val="0008331A"/>
    <w:pPr>
      <w:spacing w:after="0" w:line="240" w:lineRule="auto"/>
    </w:pPr>
    <w:tblPr>
      <w:tblStyleRowBandSize w:val="1"/>
      <w:tblStyleColBandSize w:val="1"/>
      <w:tblBorders>
        <w:top w:val="single" w:sz="4" w:space="0" w:color="275BA9" w:themeColor="accent1"/>
        <w:left w:val="single" w:sz="4" w:space="0" w:color="275BA9" w:themeColor="accent1"/>
        <w:bottom w:val="single" w:sz="4" w:space="0" w:color="275BA9" w:themeColor="accent1"/>
        <w:right w:val="single" w:sz="4" w:space="0" w:color="275BA9" w:themeColor="accent1"/>
      </w:tblBorders>
    </w:tblPr>
    <w:tblStylePr w:type="firstRow">
      <w:rPr>
        <w:b/>
        <w:bCs/>
        <w:color w:val="FFFFFF" w:themeColor="background1"/>
      </w:rPr>
      <w:tblPr/>
      <w:tcPr>
        <w:shd w:val="clear" w:color="auto" w:fill="275BA9" w:themeFill="accent1"/>
      </w:tcPr>
    </w:tblStylePr>
    <w:tblStylePr w:type="lastRow">
      <w:rPr>
        <w:b/>
        <w:bCs/>
      </w:rPr>
      <w:tblPr/>
      <w:tcPr>
        <w:tcBorders>
          <w:top w:val="double" w:sz="4" w:space="0" w:color="275BA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5BA9" w:themeColor="accent1"/>
          <w:right w:val="single" w:sz="4" w:space="0" w:color="275BA9" w:themeColor="accent1"/>
        </w:tcBorders>
      </w:tcPr>
    </w:tblStylePr>
    <w:tblStylePr w:type="band1Horz">
      <w:tblPr/>
      <w:tcPr>
        <w:tcBorders>
          <w:top w:val="single" w:sz="4" w:space="0" w:color="275BA9" w:themeColor="accent1"/>
          <w:bottom w:val="single" w:sz="4" w:space="0" w:color="275BA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5BA9" w:themeColor="accent1"/>
          <w:left w:val="nil"/>
        </w:tcBorders>
      </w:tcPr>
    </w:tblStylePr>
    <w:tblStylePr w:type="swCell">
      <w:tblPr/>
      <w:tcPr>
        <w:tcBorders>
          <w:top w:val="double" w:sz="4" w:space="0" w:color="275BA9" w:themeColor="accent1"/>
          <w:right w:val="nil"/>
        </w:tcBorders>
      </w:tcPr>
    </w:tblStylePr>
  </w:style>
  <w:style w:type="table" w:customStyle="1" w:styleId="ListTable3-Accent31">
    <w:name w:val="List Table 3 - Accent 31"/>
    <w:basedOn w:val="TableNormal"/>
    <w:uiPriority w:val="48"/>
    <w:rsid w:val="00DA139B"/>
    <w:pPr>
      <w:spacing w:after="0" w:line="240" w:lineRule="auto"/>
    </w:pPr>
    <w:tblPr>
      <w:tblStyleRowBandSize w:val="1"/>
      <w:tblStyleColBandSize w:val="1"/>
      <w:tblBorders>
        <w:top w:val="single" w:sz="4" w:space="0" w:color="6E3A97" w:themeColor="accent3"/>
        <w:left w:val="single" w:sz="4" w:space="0" w:color="6E3A97" w:themeColor="accent3"/>
        <w:bottom w:val="single" w:sz="4" w:space="0" w:color="6E3A97" w:themeColor="accent3"/>
        <w:right w:val="single" w:sz="4" w:space="0" w:color="6E3A97" w:themeColor="accent3"/>
      </w:tblBorders>
    </w:tblPr>
    <w:tblStylePr w:type="firstRow">
      <w:rPr>
        <w:b/>
        <w:bCs/>
        <w:color w:val="FFFFFF" w:themeColor="background1"/>
      </w:rPr>
      <w:tblPr/>
      <w:tcPr>
        <w:shd w:val="clear" w:color="auto" w:fill="6E3A97" w:themeFill="accent3"/>
      </w:tcPr>
    </w:tblStylePr>
    <w:tblStylePr w:type="lastRow">
      <w:rPr>
        <w:b/>
        <w:bCs/>
      </w:rPr>
      <w:tblPr/>
      <w:tcPr>
        <w:tcBorders>
          <w:top w:val="double" w:sz="4" w:space="0" w:color="6E3A9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3A97" w:themeColor="accent3"/>
          <w:right w:val="single" w:sz="4" w:space="0" w:color="6E3A97" w:themeColor="accent3"/>
        </w:tcBorders>
      </w:tcPr>
    </w:tblStylePr>
    <w:tblStylePr w:type="band1Horz">
      <w:tblPr/>
      <w:tcPr>
        <w:tcBorders>
          <w:top w:val="single" w:sz="4" w:space="0" w:color="6E3A97" w:themeColor="accent3"/>
          <w:bottom w:val="single" w:sz="4" w:space="0" w:color="6E3A9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3A97" w:themeColor="accent3"/>
          <w:left w:val="nil"/>
        </w:tcBorders>
      </w:tcPr>
    </w:tblStylePr>
    <w:tblStylePr w:type="swCell">
      <w:tblPr/>
      <w:tcPr>
        <w:tcBorders>
          <w:top w:val="double" w:sz="4" w:space="0" w:color="6E3A97" w:themeColor="accent3"/>
          <w:right w:val="nil"/>
        </w:tcBorders>
      </w:tcPr>
    </w:tblStylePr>
  </w:style>
  <w:style w:type="table" w:customStyle="1" w:styleId="ListTable3-Accent51">
    <w:name w:val="List Table 3 - Accent 51"/>
    <w:basedOn w:val="TableNormal"/>
    <w:uiPriority w:val="48"/>
    <w:rsid w:val="00DA139B"/>
    <w:pPr>
      <w:spacing w:after="0" w:line="240" w:lineRule="auto"/>
    </w:pPr>
    <w:tblPr>
      <w:tblStyleRowBandSize w:val="1"/>
      <w:tblStyleColBandSize w:val="1"/>
      <w:tblBorders>
        <w:top w:val="single" w:sz="4" w:space="0" w:color="00A7FF" w:themeColor="accent5"/>
        <w:left w:val="single" w:sz="4" w:space="0" w:color="00A7FF" w:themeColor="accent5"/>
        <w:bottom w:val="single" w:sz="4" w:space="0" w:color="00A7FF" w:themeColor="accent5"/>
        <w:right w:val="single" w:sz="4" w:space="0" w:color="00A7FF" w:themeColor="accent5"/>
      </w:tblBorders>
    </w:tblPr>
    <w:tblStylePr w:type="firstRow">
      <w:rPr>
        <w:b/>
        <w:bCs/>
        <w:color w:val="FFFFFF" w:themeColor="background1"/>
      </w:rPr>
      <w:tblPr/>
      <w:tcPr>
        <w:shd w:val="clear" w:color="auto" w:fill="00A7FF" w:themeFill="accent5"/>
      </w:tcPr>
    </w:tblStylePr>
    <w:tblStylePr w:type="lastRow">
      <w:rPr>
        <w:b/>
        <w:bCs/>
      </w:rPr>
      <w:tblPr/>
      <w:tcPr>
        <w:tcBorders>
          <w:top w:val="double" w:sz="4" w:space="0" w:color="00A7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FF" w:themeColor="accent5"/>
          <w:right w:val="single" w:sz="4" w:space="0" w:color="00A7FF" w:themeColor="accent5"/>
        </w:tcBorders>
      </w:tcPr>
    </w:tblStylePr>
    <w:tblStylePr w:type="band1Horz">
      <w:tblPr/>
      <w:tcPr>
        <w:tcBorders>
          <w:top w:val="single" w:sz="4" w:space="0" w:color="00A7FF" w:themeColor="accent5"/>
          <w:bottom w:val="single" w:sz="4" w:space="0" w:color="00A7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FF" w:themeColor="accent5"/>
          <w:left w:val="nil"/>
        </w:tcBorders>
      </w:tcPr>
    </w:tblStylePr>
    <w:tblStylePr w:type="swCell">
      <w:tblPr/>
      <w:tcPr>
        <w:tcBorders>
          <w:top w:val="double" w:sz="4" w:space="0" w:color="00A7FF"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qualitiesaward.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20Elgy\Documents\Custom%20Office%20Templates\Equalities%20Award%20Template.dotx" TargetMode="External"/></Relationships>
</file>

<file path=word/theme/theme1.xml><?xml version="1.0" encoding="utf-8"?>
<a:theme xmlns:a="http://schemas.openxmlformats.org/drawingml/2006/main" name="Word EqualiTeach Theme">
  <a:themeElements>
    <a:clrScheme name="EqualiTeach">
      <a:dk1>
        <a:srgbClr val="000000"/>
      </a:dk1>
      <a:lt1>
        <a:srgbClr val="FFFFFF"/>
      </a:lt1>
      <a:dk2>
        <a:srgbClr val="43484F"/>
      </a:dk2>
      <a:lt2>
        <a:srgbClr val="F4F4F4"/>
      </a:lt2>
      <a:accent1>
        <a:srgbClr val="275BA9"/>
      </a:accent1>
      <a:accent2>
        <a:srgbClr val="66BD46"/>
      </a:accent2>
      <a:accent3>
        <a:srgbClr val="6E3A97"/>
      </a:accent3>
      <a:accent4>
        <a:srgbClr val="BF529E"/>
      </a:accent4>
      <a:accent5>
        <a:srgbClr val="00A7FF"/>
      </a:accent5>
      <a:accent6>
        <a:srgbClr val="AAFF46"/>
      </a:accent6>
      <a:hlink>
        <a:srgbClr val="00A7FF"/>
      </a:hlink>
      <a:folHlink>
        <a:srgbClr val="275BA9"/>
      </a:folHlink>
    </a:clrScheme>
    <a:fontScheme name="EqualiTeach">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Equalities Award Template</Template>
  <TotalTime>3</TotalTime>
  <Pages>11</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Elgy</dc:creator>
  <cp:lastModifiedBy>Melissa Lane</cp:lastModifiedBy>
  <cp:revision>2</cp:revision>
  <cp:lastPrinted>2021-12-01T14:11:00Z</cp:lastPrinted>
  <dcterms:created xsi:type="dcterms:W3CDTF">2021-12-01T14:14:00Z</dcterms:created>
  <dcterms:modified xsi:type="dcterms:W3CDTF">2021-12-01T14:14:00Z</dcterms:modified>
</cp:coreProperties>
</file>