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EF19" w14:textId="77777777" w:rsidR="00CF08A2" w:rsidRDefault="00516C4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114300" distB="114300" distL="114300" distR="114300" simplePos="0" relativeHeight="251658240" behindDoc="1" locked="0" layoutInCell="1" hidden="0" allowOverlap="1" wp14:anchorId="0F201961" wp14:editId="5D7A4FD7">
            <wp:simplePos x="0" y="0"/>
            <wp:positionH relativeFrom="page">
              <wp:posOffset>6296025</wp:posOffset>
            </wp:positionH>
            <wp:positionV relativeFrom="page">
              <wp:posOffset>247650</wp:posOffset>
            </wp:positionV>
            <wp:extent cx="1004888" cy="104896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48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LGBT+ Terminology</w:t>
      </w:r>
    </w:p>
    <w:p w14:paraId="40185538" w14:textId="77777777" w:rsidR="00CF08A2" w:rsidRDefault="00CF08A2">
      <w:pPr>
        <w:jc w:val="center"/>
        <w:rPr>
          <w:b/>
          <w:sz w:val="26"/>
          <w:szCs w:val="26"/>
        </w:rPr>
      </w:pPr>
    </w:p>
    <w:p w14:paraId="008A1599" w14:textId="77777777" w:rsidR="00CF08A2" w:rsidRDefault="00516C41">
      <w:pPr>
        <w:rPr>
          <w:b/>
        </w:rPr>
      </w:pPr>
      <w:r>
        <w:rPr>
          <w:b/>
        </w:rPr>
        <w:t>Please keep in mind that these are generalised definitions, certain people may have slightly different definitions depending on what they feel is right for them. Please just be kind.</w:t>
      </w:r>
    </w:p>
    <w:p w14:paraId="4C6B304D" w14:textId="77777777" w:rsidR="00CF08A2" w:rsidRDefault="00CF08A2">
      <w:pPr>
        <w:rPr>
          <w:b/>
          <w:sz w:val="26"/>
          <w:szCs w:val="26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CF08A2" w14:paraId="3A4FCA0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C9C6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Agender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810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Describes a person who identifies as having no gender.</w:t>
            </w:r>
          </w:p>
        </w:tc>
      </w:tr>
      <w:tr w:rsidR="00CF08A2" w14:paraId="1520F6D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2CC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Ally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361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</w:t>
            </w:r>
            <w:r>
              <w:t>erson who supports and stands up for the rights of LGBT+ people.</w:t>
            </w:r>
          </w:p>
        </w:tc>
      </w:tr>
      <w:tr w:rsidR="00CF08A2" w14:paraId="035FD0D9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1BF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Androgynous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3FA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303030"/>
                <w:highlight w:val="white"/>
              </w:rPr>
              <w:t>A person who has both masculine and feminine characteristics, which sometimes means you can't easily distinguish that person's gender. It can also refer to someone who appears fe</w:t>
            </w:r>
            <w:r>
              <w:rPr>
                <w:color w:val="303030"/>
                <w:highlight w:val="white"/>
              </w:rPr>
              <w:t>male, but who adopts a style that is generally considered masculine.</w:t>
            </w:r>
          </w:p>
        </w:tc>
      </w:tr>
      <w:tr w:rsidR="00CF08A2" w14:paraId="3EFF613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CCE2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Aromantic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A87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Describes a person who experiences little to no romantic attraction to others.</w:t>
            </w:r>
          </w:p>
        </w:tc>
      </w:tr>
      <w:tr w:rsidR="00CF08A2" w14:paraId="0DFE5B7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F983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Asexual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F1B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Describes a person who experiences little to no sexual attraction to others.</w:t>
            </w:r>
          </w:p>
        </w:tc>
      </w:tr>
      <w:tr w:rsidR="00CF08A2" w14:paraId="18E027D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9161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Bigender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3133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Describes someone whose gender identity is either a combination of two </w:t>
            </w:r>
            <w:proofErr w:type="gramStart"/>
            <w:r>
              <w:t>genders, or</w:t>
            </w:r>
            <w:proofErr w:type="gramEnd"/>
            <w:r>
              <w:t xml:space="preserve"> is in flux between the two.</w:t>
            </w:r>
          </w:p>
        </w:tc>
      </w:tr>
      <w:tr w:rsidR="00CF08A2" w14:paraId="7A56E082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A41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Binding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1B01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The process of wrapping the chest </w:t>
            </w:r>
            <w:proofErr w:type="gramStart"/>
            <w:r>
              <w:t>in order for</w:t>
            </w:r>
            <w:proofErr w:type="gramEnd"/>
            <w:r>
              <w:t xml:space="preserve"> i</w:t>
            </w:r>
            <w:r>
              <w:t xml:space="preserve">t to appear flat. Usually with a specially designed undergarment (a binder) as this is the safest method. </w:t>
            </w:r>
            <w:r>
              <w:rPr>
                <w:b/>
              </w:rPr>
              <w:t>DO NOT BIND FOR MORE THAN 8 HOURS OR OVERNIGHT.</w:t>
            </w:r>
          </w:p>
        </w:tc>
      </w:tr>
      <w:tr w:rsidR="00CF08A2" w14:paraId="3D7B2667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D1A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Biphobia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2D86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fear </w:t>
            </w:r>
            <w:proofErr w:type="gramStart"/>
            <w:r>
              <w:t>of,</w:t>
            </w:r>
            <w:proofErr w:type="gramEnd"/>
            <w:r>
              <w:t xml:space="preserve"> discrimination against or hatred of bisexual people or those perceived as such</w:t>
            </w:r>
            <w:r>
              <w:t>.</w:t>
            </w:r>
          </w:p>
        </w:tc>
      </w:tr>
      <w:tr w:rsidR="00CF08A2" w14:paraId="56520F93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0427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Bisexual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11A1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sexual orientation that describes a person who is attracted to two or more genders.</w:t>
            </w:r>
          </w:p>
        </w:tc>
      </w:tr>
      <w:tr w:rsidR="00CF08A2" w14:paraId="793E4FF6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5C30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Cisgender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527D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person whose gender identity aligns with the gender they were assigned at birth.</w:t>
            </w:r>
          </w:p>
        </w:tc>
      </w:tr>
      <w:tr w:rsidR="00CF08A2" w14:paraId="4FC4EE3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864D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Coming out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349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a person accepts/ labels their identity for the first time (they are coming out to themselves) or when they share it with others (they are coming out to oth</w:t>
            </w:r>
            <w:r>
              <w:t>ers).</w:t>
            </w:r>
          </w:p>
        </w:tc>
      </w:tr>
      <w:tr w:rsidR="00CF08A2" w14:paraId="2546E4B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0674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03030"/>
              </w:rPr>
            </w:pPr>
            <w:r>
              <w:rPr>
                <w:b/>
                <w:color w:val="303030"/>
              </w:rPr>
              <w:t>Deadnaming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72B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03030"/>
              </w:rPr>
            </w:pPr>
            <w:r>
              <w:rPr>
                <w:color w:val="303030"/>
                <w:highlight w:val="white"/>
              </w:rPr>
              <w:t xml:space="preserve">Saying the name that a transgender person was given at birth but no longer uses. </w:t>
            </w:r>
          </w:p>
        </w:tc>
      </w:tr>
      <w:tr w:rsidR="00CF08A2" w14:paraId="34D93FC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772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Demiboy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0D3A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Describes a person who identifies with both </w:t>
            </w:r>
            <w:r>
              <w:rPr>
                <w:b/>
              </w:rPr>
              <w:t>Male</w:t>
            </w:r>
            <w:r>
              <w:t xml:space="preserve"> and </w:t>
            </w:r>
            <w:r>
              <w:rPr>
                <w:b/>
              </w:rPr>
              <w:t>Nonbinary</w:t>
            </w:r>
            <w:r>
              <w:t>. They do not necessarily identify with both equally but always identify with both and only Male and nonbinary.</w:t>
            </w:r>
          </w:p>
        </w:tc>
      </w:tr>
      <w:tr w:rsidR="00CF08A2" w14:paraId="4B1F5C0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FA6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Demigirl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23D4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Describes a person who identifies with both </w:t>
            </w:r>
            <w:r>
              <w:rPr>
                <w:b/>
              </w:rPr>
              <w:t>Female</w:t>
            </w:r>
            <w:r>
              <w:t xml:space="preserve"> and </w:t>
            </w:r>
            <w:r>
              <w:rPr>
                <w:b/>
              </w:rPr>
              <w:t>Nonbinary</w:t>
            </w:r>
            <w:r>
              <w:t>. They do not necessarily identify with both equally but always identi</w:t>
            </w:r>
            <w:r>
              <w:t>fy with both and only Male and nonbinary.</w:t>
            </w:r>
          </w:p>
        </w:tc>
      </w:tr>
      <w:tr w:rsidR="00CF08A2" w14:paraId="5ECFB18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39A1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Demisexual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8FDC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Describes a person who only feels sexually attracted to someone when they have an emotional bond with the person.</w:t>
            </w:r>
          </w:p>
        </w:tc>
      </w:tr>
      <w:tr w:rsidR="00CF08A2" w14:paraId="0310E74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7FB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Drag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B31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performance of one or more genders theatrically. (Drag queens/kings)</w:t>
            </w:r>
          </w:p>
        </w:tc>
      </w:tr>
      <w:tr w:rsidR="00CF08A2" w14:paraId="4B75DE98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3111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Gay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2694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</w:t>
            </w:r>
            <w:r>
              <w:t>ribes a person attracted to people of their own gender.</w:t>
            </w:r>
          </w:p>
        </w:tc>
      </w:tr>
      <w:tr w:rsidR="00CF08A2" w14:paraId="3CE217F6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5D77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 Dysphoria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5574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Distress experience by some individuals whose gender identity does not corresponding with their assigned sex at birth.</w:t>
            </w:r>
          </w:p>
        </w:tc>
      </w:tr>
      <w:tr w:rsidR="00CF08A2" w14:paraId="7723E6E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0385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Gender Euphoria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646" w14:textId="77777777" w:rsidR="00CF08A2" w:rsidRDefault="00516C4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 euphoric or happy feeling felt by someone when referred to as their "true" gender. </w:t>
            </w:r>
          </w:p>
        </w:tc>
      </w:tr>
      <w:tr w:rsidR="00CF08A2" w14:paraId="316C8269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96E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 Expression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9AA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The way a perso</w:t>
            </w:r>
            <w:r>
              <w:rPr>
                <w:highlight w:val="white"/>
              </w:rPr>
              <w:t xml:space="preserve">n acts, dresses, </w:t>
            </w:r>
            <w:proofErr w:type="gramStart"/>
            <w:r>
              <w:rPr>
                <w:highlight w:val="white"/>
              </w:rPr>
              <w:t>speaks</w:t>
            </w:r>
            <w:proofErr w:type="gramEnd"/>
            <w:r>
              <w:rPr>
                <w:highlight w:val="white"/>
              </w:rPr>
              <w:t xml:space="preserve"> and behaves (</w:t>
            </w:r>
            <w:proofErr w:type="spellStart"/>
            <w:r>
              <w:rPr>
                <w:highlight w:val="white"/>
              </w:rPr>
              <w:t>i.e</w:t>
            </w:r>
            <w:proofErr w:type="spellEnd"/>
            <w:r>
              <w:rPr>
                <w:highlight w:val="white"/>
              </w:rPr>
              <w:t xml:space="preserve">, feminine, masculine, androgynous). </w:t>
            </w:r>
            <w:r>
              <w:rPr>
                <w:b/>
                <w:highlight w:val="white"/>
              </w:rPr>
              <w:t>Gender expression does not necessarily correspond with gender identity.</w:t>
            </w:r>
          </w:p>
        </w:tc>
      </w:tr>
      <w:tr w:rsidR="00CF08A2" w14:paraId="253DFF62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C126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 Fluid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A1D4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Describes a person whose gender identity is not fixed, can flux from one to another, can be a</w:t>
            </w:r>
            <w:r>
              <w:rPr>
                <w:highlight w:val="white"/>
              </w:rPr>
              <w:t xml:space="preserve"> mixture of multiple etc..</w:t>
            </w:r>
          </w:p>
        </w:tc>
      </w:tr>
      <w:tr w:rsidR="00CF08A2" w14:paraId="6A60D1D3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2360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EC5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 person’s internal sense of being a man/male, woman/female, both, neither or another gender.</w:t>
            </w:r>
          </w:p>
        </w:tc>
      </w:tr>
      <w:tr w:rsidR="00CF08A2" w14:paraId="0F7F75F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7946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 Non-conforming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424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Describes a gender expression that differs from a given society’s norms for men and women.</w:t>
            </w:r>
          </w:p>
        </w:tc>
      </w:tr>
      <w:tr w:rsidR="00CF08A2" w14:paraId="5D6171F4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5C9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Genderqueer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F5F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Describes a person whose gender identity falls outside the traditional gender binary.</w:t>
            </w:r>
          </w:p>
        </w:tc>
      </w:tr>
      <w:tr w:rsidR="00CF08A2" w14:paraId="78A5E34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7A53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Heteronormativity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B670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The assumption that everyone is heterosexual, a</w:t>
            </w:r>
            <w:r>
              <w:rPr>
                <w:highlight w:val="white"/>
              </w:rPr>
              <w:t>nd that heterosexuality is superior to all others.</w:t>
            </w:r>
          </w:p>
        </w:tc>
      </w:tr>
      <w:tr w:rsidR="00CF08A2" w14:paraId="2D6F941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90B6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Homophobia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4F4A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The fear of, discrimination against, or hatred of lesbian or gay people and those perceived as such</w:t>
            </w:r>
          </w:p>
        </w:tc>
      </w:tr>
      <w:tr w:rsidR="00CF08A2" w14:paraId="5D717BD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FCE9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Intersex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3AF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Intersex refers to a difference in chromosomal, </w:t>
            </w:r>
            <w:proofErr w:type="gramStart"/>
            <w:r>
              <w:rPr>
                <w:highlight w:val="white"/>
              </w:rPr>
              <w:t>genital</w:t>
            </w:r>
            <w:proofErr w:type="gramEnd"/>
            <w:r>
              <w:rPr>
                <w:highlight w:val="white"/>
              </w:rPr>
              <w:t xml:space="preserve"> or hormonal development/presentation, that exists at birth but may not manifest until a later time, such as during adolescence. </w:t>
            </w:r>
          </w:p>
        </w:tc>
      </w:tr>
      <w:tr w:rsidR="00CF08A2" w14:paraId="4FEC7508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939C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Lesbian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C3D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non-man attracted to non-men.</w:t>
            </w:r>
          </w:p>
        </w:tc>
      </w:tr>
      <w:tr w:rsidR="00CF08A2" w14:paraId="65182EA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85A7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303030"/>
                <w:highlight w:val="white"/>
              </w:rPr>
              <w:t>Misgendering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3807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303030"/>
                <w:highlight w:val="white"/>
              </w:rPr>
              <w:t>Referring to som</w:t>
            </w:r>
            <w:r>
              <w:rPr>
                <w:color w:val="303030"/>
                <w:highlight w:val="white"/>
              </w:rPr>
              <w:t>eone in a way that does not correctly reflect their gender identity, typically by using incorrect pronouns.</w:t>
            </w:r>
          </w:p>
        </w:tc>
      </w:tr>
      <w:tr w:rsidR="00CF08A2" w14:paraId="0E8F3903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626E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Non-Binary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04C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A </w:t>
            </w:r>
            <w:proofErr w:type="gramStart"/>
            <w:r>
              <w:rPr>
                <w:highlight w:val="white"/>
              </w:rPr>
              <w:t>broadly-encompassing</w:t>
            </w:r>
            <w:proofErr w:type="gramEnd"/>
            <w:r>
              <w:rPr>
                <w:highlight w:val="white"/>
              </w:rPr>
              <w:t xml:space="preserve"> </w:t>
            </w:r>
            <w:hyperlink r:id="rId5">
              <w:r>
                <w:rPr>
                  <w:highlight w:val="white"/>
                </w:rPr>
                <w:t>gender identity</w:t>
              </w:r>
            </w:hyperlink>
            <w:r>
              <w:rPr>
                <w:highlight w:val="white"/>
              </w:rPr>
              <w:t>, which means that one</w:t>
            </w:r>
            <w:r>
              <w:rPr>
                <w:highlight w:val="white"/>
              </w:rPr>
              <w:t xml:space="preserve"> isn’t exclusively male or female. Examples of nonbinary genders include </w:t>
            </w:r>
            <w:hyperlink r:id="rId6">
              <w:r>
                <w:rPr>
                  <w:highlight w:val="white"/>
                </w:rPr>
                <w:t>agender</w:t>
              </w:r>
            </w:hyperlink>
            <w:r>
              <w:rPr>
                <w:highlight w:val="white"/>
              </w:rPr>
              <w:t xml:space="preserve">, </w:t>
            </w:r>
            <w:hyperlink r:id="rId7">
              <w:r>
                <w:rPr>
                  <w:highlight w:val="white"/>
                </w:rPr>
                <w:t>demigirl</w:t>
              </w:r>
            </w:hyperlink>
            <w:r>
              <w:rPr>
                <w:highlight w:val="white"/>
              </w:rPr>
              <w:t>, and simply nonbinary.</w:t>
            </w:r>
          </w:p>
        </w:tc>
      </w:tr>
      <w:tr w:rsidR="00CF08A2" w14:paraId="4B116F9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DF17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Outing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3546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Involuntary or unwanted disclosure of another person’s sexual identity or gender identity.</w:t>
            </w:r>
          </w:p>
        </w:tc>
      </w:tr>
      <w:tr w:rsidR="00CF08A2" w14:paraId="4A7BFEF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86F6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Pangender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716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Describes a person whose gender identity comprises many genders.</w:t>
            </w:r>
          </w:p>
        </w:tc>
      </w:tr>
      <w:tr w:rsidR="00CF08A2" w14:paraId="59B1038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5069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Pansexual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27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Describes someone who experiences attraction to another person </w:t>
            </w:r>
            <w:r>
              <w:lastRenderedPageBreak/>
              <w:t>regardle</w:t>
            </w:r>
            <w:r>
              <w:t>ss of their gender.</w:t>
            </w:r>
          </w:p>
        </w:tc>
      </w:tr>
      <w:tr w:rsidR="00CF08A2" w14:paraId="4AC870AE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DB8E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Passing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D96A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03030"/>
              </w:rPr>
            </w:pPr>
            <w:r>
              <w:rPr>
                <w:color w:val="303030"/>
                <w:highlight w:val="white"/>
              </w:rPr>
              <w:t xml:space="preserve">Passing is the word for </w:t>
            </w:r>
            <w:hyperlink r:id="rId8">
              <w:r>
                <w:rPr>
                  <w:color w:val="303030"/>
                  <w:highlight w:val="white"/>
                </w:rPr>
                <w:t>trans</w:t>
              </w:r>
            </w:hyperlink>
            <w:r>
              <w:rPr>
                <w:color w:val="303030"/>
                <w:highlight w:val="white"/>
              </w:rPr>
              <w:t xml:space="preserve"> people to describe when they are seen as the gender they identify as. </w:t>
            </w:r>
          </w:p>
        </w:tc>
      </w:tr>
      <w:tr w:rsidR="00CF08A2" w14:paraId="580801EE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8D65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Polymorous</w:t>
            </w:r>
            <w:proofErr w:type="spellEnd"/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086C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Describes a person who has or is open to having more than one romantic or sexual relationship at a time, with the knowledge and consent of all their partners. </w:t>
            </w:r>
          </w:p>
        </w:tc>
      </w:tr>
      <w:tr w:rsidR="00CF08A2" w14:paraId="3F674698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FA7A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Pronouns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ED30" w14:textId="77777777" w:rsidR="00CF08A2" w:rsidRDefault="00516C41">
            <w:pPr>
              <w:widowControl w:val="0"/>
              <w:shd w:val="clear" w:color="auto" w:fill="FFFFFF"/>
              <w:spacing w:line="240" w:lineRule="auto"/>
              <w:ind w:right="760"/>
            </w:pPr>
            <w:r>
              <w:t>A word used instead of a noun often to refer to a person without using their name. Pro</w:t>
            </w:r>
            <w:r>
              <w:t xml:space="preserve">nouns can signal a person's gender. Some of the </w:t>
            </w:r>
            <w:proofErr w:type="gramStart"/>
            <w:r>
              <w:t>most commonly used</w:t>
            </w:r>
            <w:proofErr w:type="gramEnd"/>
            <w:r>
              <w:t xml:space="preserve"> pronouns are she/her, he/him and they/them.</w:t>
            </w:r>
          </w:p>
        </w:tc>
      </w:tr>
      <w:tr w:rsidR="00CF08A2" w14:paraId="36DB4FB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0E4E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QPOC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C56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acronym that stands for Queer Person of Colour or Queer People of Colour.</w:t>
            </w:r>
          </w:p>
        </w:tc>
      </w:tr>
      <w:tr w:rsidR="00CF08A2" w14:paraId="1480190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1CD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Queer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44B9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umbrella term used by some to describe people who think of their sexual orientation or gender identity as outside of societal norms. Some people view the term queer as m</w:t>
            </w:r>
            <w:r>
              <w:t>ore fluid and inclusive than traditional categories for sexual orientation and gender identity. Due to its history as a derogatory term, the term queer is not embraced or used by all members of the LGBT community.</w:t>
            </w:r>
          </w:p>
        </w:tc>
      </w:tr>
      <w:tr w:rsidR="00CF08A2" w14:paraId="2A0BA256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7871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Questioning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386D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Describes a person who is unsure about or is exploring their sexual orientation and/or their gender identity.</w:t>
            </w:r>
          </w:p>
        </w:tc>
      </w:tr>
      <w:tr w:rsidR="00CF08A2" w14:paraId="2B8AD99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96EF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Sexual Orientation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128F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 person describes their emotional and sexual attraction to others.</w:t>
            </w:r>
          </w:p>
        </w:tc>
      </w:tr>
      <w:tr w:rsidR="00CF08A2" w14:paraId="5C47B9A2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F69C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Transition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6B1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For transgender people, this refers to the process of coming to recognize, accept, and express one’s gender identity. Most often, this refers to the period when a person makes social, legal, and/or medical changes, such as changing their clothing, name, se</w:t>
            </w:r>
            <w:r>
              <w:t xml:space="preserve">x designation, and using medical interventions. </w:t>
            </w:r>
            <w:r>
              <w:rPr>
                <w:b/>
              </w:rPr>
              <w:t>No two transitions are the same.</w:t>
            </w:r>
          </w:p>
        </w:tc>
      </w:tr>
      <w:tr w:rsidR="00CF08A2" w14:paraId="2D35B50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58FD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Transfeminine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B348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describe a trans person assigned male at birth on the feminine end of the gender spectrum but does not always identify as entirely female.</w:t>
            </w:r>
          </w:p>
        </w:tc>
      </w:tr>
      <w:tr w:rsidR="00CF08A2" w14:paraId="43EFC5C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F8FC" w14:textId="77777777" w:rsidR="00CF08A2" w:rsidRDefault="00516C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Transgender (Tran</w:t>
            </w:r>
            <w:r>
              <w:rPr>
                <w:b/>
              </w:rPr>
              <w:t xml:space="preserve">s)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7F70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Describes a person whose gender identity and assigned sex at birth do not correspond. Also used as an umbrella term to include gender identities outside of male and female. </w:t>
            </w:r>
          </w:p>
        </w:tc>
      </w:tr>
      <w:tr w:rsidR="00CF08A2" w14:paraId="106CC91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48CA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Trans man (</w:t>
            </w:r>
            <w:proofErr w:type="spellStart"/>
            <w:r>
              <w:rPr>
                <w:b/>
              </w:rPr>
              <w:t>FtM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58C2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transgender person who was assigned female at birth who ide</w:t>
            </w:r>
            <w:r>
              <w:t xml:space="preserve">ntifies as a man. </w:t>
            </w:r>
          </w:p>
        </w:tc>
      </w:tr>
      <w:tr w:rsidR="00CF08A2" w14:paraId="09F37BB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580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Transmasculine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82AA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describe a trans person who was assigned female at birth but identifies with the masculine end of the spectrum. Does not always entirely identify as a man. </w:t>
            </w:r>
          </w:p>
        </w:tc>
      </w:tr>
      <w:tr w:rsidR="00CF08A2" w14:paraId="1B6AA72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F729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Transphobia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D323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fear of, </w:t>
            </w:r>
            <w:proofErr w:type="spellStart"/>
            <w:r>
              <w:t>descrimination</w:t>
            </w:r>
            <w:proofErr w:type="spellEnd"/>
            <w:r>
              <w:t xml:space="preserve"> against, or hatred of transgender or gender non-conform</w:t>
            </w:r>
            <w:r>
              <w:t xml:space="preserve">ing people or those who are </w:t>
            </w:r>
            <w:proofErr w:type="spellStart"/>
            <w:r>
              <w:t>percieved</w:t>
            </w:r>
            <w:proofErr w:type="spellEnd"/>
            <w:r>
              <w:t xml:space="preserve"> as </w:t>
            </w:r>
            <w:r>
              <w:lastRenderedPageBreak/>
              <w:t>such.</w:t>
            </w:r>
          </w:p>
        </w:tc>
      </w:tr>
      <w:tr w:rsidR="00CF08A2" w14:paraId="1BC5C746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666B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Trans Woman (</w:t>
            </w:r>
            <w:proofErr w:type="spellStart"/>
            <w:r>
              <w:rPr>
                <w:b/>
              </w:rPr>
              <w:t>MtF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F102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trans person assigned male at birth who identifies as a woman</w:t>
            </w:r>
          </w:p>
        </w:tc>
      </w:tr>
      <w:tr w:rsidR="00CF08A2" w14:paraId="61C93E8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917D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Tucking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1FB5" w14:textId="77777777" w:rsidR="00CF08A2" w:rsidRDefault="0051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The process of hiding the crotch safely done with specifically designed undergarments. </w:t>
            </w:r>
            <w:r>
              <w:rPr>
                <w:b/>
              </w:rPr>
              <w:t>Take breaks when tucking.</w:t>
            </w:r>
          </w:p>
        </w:tc>
      </w:tr>
    </w:tbl>
    <w:p w14:paraId="00712188" w14:textId="77777777" w:rsidR="00CF08A2" w:rsidRDefault="00CF08A2"/>
    <w:sectPr w:rsidR="00CF08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A2"/>
    <w:rsid w:val="00516C41"/>
    <w:rsid w:val="00C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B57A"/>
  <w15:docId w15:val="{179727D9-549E-48C4-BB11-EA7C61CE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rundefined.com/search/tr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eerundefined.com/search/demigi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erundefined.com/search/agender" TargetMode="External"/><Relationship Id="rId5" Type="http://schemas.openxmlformats.org/officeDocument/2006/relationships/hyperlink" Target="https://www.queerundefined.com/search/gender%20identit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Lane</dc:creator>
  <cp:lastModifiedBy>Melissa Lane</cp:lastModifiedBy>
  <cp:revision>2</cp:revision>
  <dcterms:created xsi:type="dcterms:W3CDTF">2021-11-17T09:17:00Z</dcterms:created>
  <dcterms:modified xsi:type="dcterms:W3CDTF">2021-11-17T09:17:00Z</dcterms:modified>
</cp:coreProperties>
</file>